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E4540" w14:paraId="134057AB" w14:textId="77777777">
        <w:tblPrEx>
          <w:tblCellMar>
            <w:top w:w="0" w:type="dxa"/>
            <w:bottom w:w="0" w:type="dxa"/>
          </w:tblCellMar>
        </w:tblPrEx>
        <w:trPr>
          <w:trHeight w:val="1200"/>
        </w:trPr>
        <w:tc>
          <w:tcPr>
            <w:tcW w:w="9360" w:type="dxa"/>
            <w:tcBorders>
              <w:top w:val="none" w:sz="0" w:space="0" w:color="0E2A47"/>
              <w:left w:val="none" w:sz="0" w:space="0" w:color="0E2A47"/>
              <w:bottom w:val="single" w:sz="24" w:space="0" w:color="C9A24A"/>
              <w:right w:val="none" w:sz="0" w:space="0" w:color="0E2A47"/>
            </w:tcBorders>
            <w:shd w:val="clear" w:color="auto" w:fill="0E2A47"/>
            <w:tcMar>
              <w:top w:w="480" w:type="dxa"/>
              <w:left w:w="360" w:type="dxa"/>
              <w:bottom w:w="480" w:type="dxa"/>
              <w:right w:w="360" w:type="dxa"/>
            </w:tcMar>
            <w:vAlign w:val="center"/>
          </w:tcPr>
          <w:p w14:paraId="185F189F" w14:textId="77777777" w:rsidR="00FE4540" w:rsidRDefault="007E113E">
            <w:pPr>
              <w:spacing w:line="360" w:lineRule="auto"/>
            </w:pPr>
            <w:r>
              <w:rPr>
                <w:b/>
                <w:bCs/>
                <w:color w:val="FFFFFF"/>
                <w:sz w:val="32"/>
                <w:szCs w:val="32"/>
              </w:rPr>
              <w:t>TAS UNITED</w:t>
            </w:r>
          </w:p>
        </w:tc>
      </w:tr>
    </w:tbl>
    <w:p w14:paraId="266FEEAC" w14:textId="77777777" w:rsidR="00FE4540" w:rsidRDefault="007E113E">
      <w:pPr>
        <w:spacing w:before="140"/>
      </w:pPr>
      <w:r>
        <w:rPr>
          <w:i/>
          <w:iCs/>
          <w:color w:val="1F8A8A"/>
          <w:sz w:val="20"/>
          <w:szCs w:val="20"/>
        </w:rPr>
        <w:t>Healthcare Communication &amp; AI Agent Platform</w:t>
      </w:r>
    </w:p>
    <w:p w14:paraId="2F241520" w14:textId="77777777" w:rsidR="00FE4540" w:rsidRDefault="007E113E">
      <w:pPr>
        <w:spacing w:before="1000" w:after="240"/>
      </w:pPr>
      <w:r>
        <w:rPr>
          <w:b/>
          <w:bCs/>
          <w:color w:val="C9A24A"/>
        </w:rPr>
        <w:t>WHITE PAPER</w:t>
      </w:r>
    </w:p>
    <w:p w14:paraId="164B41E5" w14:textId="77777777" w:rsidR="00FE4540" w:rsidRDefault="007E113E">
      <w:pPr>
        <w:spacing w:after="240" w:line="360" w:lineRule="auto"/>
      </w:pPr>
      <w:r>
        <w:rPr>
          <w:b/>
          <w:bCs/>
          <w:color w:val="0E2A47"/>
          <w:sz w:val="52"/>
          <w:szCs w:val="52"/>
        </w:rPr>
        <w:t>Why Your Medical Answering Service Must Be HITRUST Certified</w:t>
      </w:r>
    </w:p>
    <w:p w14:paraId="602BBCCA" w14:textId="77777777" w:rsidR="00FE4540" w:rsidRDefault="007E113E">
      <w:pPr>
        <w:spacing w:after="600" w:line="360" w:lineRule="auto"/>
      </w:pPr>
      <w:r>
        <w:rPr>
          <w:i/>
          <w:iCs/>
          <w:color w:val="1F8A8A"/>
          <w:sz w:val="26"/>
          <w:szCs w:val="26"/>
        </w:rPr>
        <w:t>The Risks of HIPAA-Only Vendors and the New Standard for Healthcare Communication Partners</w:t>
      </w:r>
    </w:p>
    <w:p w14:paraId="08F67FFB" w14:textId="77777777" w:rsidR="00FE4540" w:rsidRDefault="00FE4540">
      <w:pPr>
        <w:pBdr>
          <w:bottom w:val="single" w:sz="12" w:space="6" w:color="C9A24A"/>
        </w:pBdr>
        <w:spacing w:after="240"/>
      </w:pPr>
    </w:p>
    <w:p w14:paraId="7398778E" w14:textId="77777777" w:rsidR="00FE4540" w:rsidRDefault="007E113E">
      <w:pPr>
        <w:spacing w:after="160" w:line="300" w:lineRule="auto"/>
      </w:pPr>
      <w:r>
        <w:rPr>
          <w:b/>
          <w:bCs/>
          <w:color w:val="0E2A47"/>
        </w:rPr>
        <w:t xml:space="preserve">Prepared by: </w:t>
      </w:r>
      <w:r>
        <w:rPr>
          <w:color w:val="1F1F1F"/>
        </w:rPr>
        <w:t>TAS United</w:t>
      </w:r>
    </w:p>
    <w:p w14:paraId="3B2F6558" w14:textId="77777777" w:rsidR="00FE4540" w:rsidRDefault="007E113E">
      <w:pPr>
        <w:spacing w:after="160" w:line="300" w:lineRule="auto"/>
      </w:pPr>
      <w:r>
        <w:rPr>
          <w:b/>
          <w:bCs/>
          <w:color w:val="0E2A47"/>
        </w:rPr>
        <w:t xml:space="preserve">Published: </w:t>
      </w:r>
      <w:r>
        <w:rPr>
          <w:color w:val="1F1F1F"/>
        </w:rPr>
        <w:t>May 2026</w:t>
      </w:r>
    </w:p>
    <w:p w14:paraId="244FA408" w14:textId="77777777" w:rsidR="00FE4540" w:rsidRDefault="007E113E">
      <w:pPr>
        <w:spacing w:after="160" w:line="300" w:lineRule="auto"/>
      </w:pPr>
      <w:r>
        <w:rPr>
          <w:b/>
          <w:bCs/>
          <w:color w:val="0E2A47"/>
        </w:rPr>
        <w:t xml:space="preserve">Author: </w:t>
      </w:r>
      <w:r>
        <w:rPr>
          <w:color w:val="1F1F1F"/>
        </w:rPr>
        <w:t>Clay McElroy, MBA — Director of</w:t>
      </w:r>
      <w:r>
        <w:rPr>
          <w:color w:val="1F1F1F"/>
        </w:rPr>
        <w:t xml:space="preserve"> </w:t>
      </w:r>
      <w:r>
        <w:rPr>
          <w:color w:val="1F1F1F"/>
        </w:rPr>
        <w:t>S</w:t>
      </w:r>
      <w:r>
        <w:rPr>
          <w:color w:val="1F1F1F"/>
        </w:rPr>
        <w:t>a</w:t>
      </w:r>
      <w:r>
        <w:rPr>
          <w:color w:val="1F1F1F"/>
        </w:rPr>
        <w:t>l</w:t>
      </w:r>
      <w:r>
        <w:rPr>
          <w:color w:val="1F1F1F"/>
        </w:rPr>
        <w:t>e</w:t>
      </w:r>
      <w:r>
        <w:rPr>
          <w:color w:val="1F1F1F"/>
        </w:rPr>
        <w:t>s</w:t>
      </w:r>
      <w:r>
        <w:rPr>
          <w:color w:val="1F1F1F"/>
        </w:rPr>
        <w:t xml:space="preserve"> </w:t>
      </w:r>
      <w:r>
        <w:rPr>
          <w:color w:val="1F1F1F"/>
        </w:rPr>
        <w:t>&amp;</w:t>
      </w:r>
      <w:r>
        <w:rPr>
          <w:color w:val="1F1F1F"/>
        </w:rPr>
        <w:t xml:space="preserve"> Client Engagement</w:t>
      </w:r>
    </w:p>
    <w:p w14:paraId="1E549030" w14:textId="77777777" w:rsidR="00FE4540" w:rsidRDefault="00FE4540">
      <w:pPr>
        <w:spacing w:before="1800"/>
      </w:pPr>
    </w:p>
    <w:p w14:paraId="2D2C4DA4" w14:textId="77777777" w:rsidR="00FE4540" w:rsidRDefault="007E113E">
      <w:pPr>
        <w:spacing w:after="60"/>
        <w:jc w:val="center"/>
      </w:pPr>
      <w:r>
        <w:rPr>
          <w:color w:val="555555"/>
          <w:sz w:val="18"/>
          <w:szCs w:val="18"/>
        </w:rPr>
        <w:t>Lubbock, TX  |  Guaynabo, PR  |  Healthcare-Exclusive Since 1984</w:t>
      </w:r>
    </w:p>
    <w:p w14:paraId="17AB5C01" w14:textId="77777777" w:rsidR="00FE4540" w:rsidRDefault="007E113E">
      <w:pPr>
        <w:jc w:val="center"/>
      </w:pPr>
      <w:r>
        <w:rPr>
          <w:b/>
          <w:bCs/>
          <w:color w:val="1F8A8A"/>
          <w:sz w:val="18"/>
          <w:szCs w:val="18"/>
        </w:rPr>
        <w:t>www.tasunited.com</w:t>
      </w:r>
    </w:p>
    <w:p w14:paraId="23F55A85" w14:textId="77777777" w:rsidR="00FE4540" w:rsidRDefault="007E113E">
      <w:r>
        <w:br w:type="page"/>
      </w:r>
    </w:p>
    <w:p w14:paraId="169E7716" w14:textId="77777777" w:rsidR="00FE4540" w:rsidRDefault="00FE4540">
      <w:pPr>
        <w:sectPr w:rsidR="00FE4540">
          <w:pgSz w:w="12240" w:h="15840"/>
          <w:pgMar w:top="1080" w:right="1440" w:bottom="1080" w:left="1440" w:header="708" w:footer="708" w:gutter="0"/>
          <w:cols w:space="720"/>
          <w:docGrid w:linePitch="360"/>
        </w:sectPr>
      </w:pPr>
    </w:p>
    <w:p w14:paraId="584B4781" w14:textId="77777777" w:rsidR="00FE4540" w:rsidRDefault="007E113E">
      <w:pPr>
        <w:keepNext/>
        <w:keepLines/>
        <w:spacing w:before="400" w:after="80"/>
      </w:pPr>
      <w:r>
        <w:rPr>
          <w:b/>
          <w:bCs/>
          <w:color w:val="C9A24A"/>
          <w:sz w:val="18"/>
          <w:szCs w:val="18"/>
        </w:rPr>
        <w:lastRenderedPageBreak/>
        <w:t>CONTENTS</w:t>
      </w:r>
    </w:p>
    <w:p w14:paraId="5B0308C3" w14:textId="77777777" w:rsidR="00FE4540" w:rsidRDefault="007E113E">
      <w:pPr>
        <w:pStyle w:val="Heading1"/>
        <w:keepNext/>
        <w:keepLines/>
      </w:pPr>
      <w:r>
        <w:t>Table of Contents</w:t>
      </w:r>
    </w:p>
    <w:p w14:paraId="1E740612" w14:textId="77777777" w:rsidR="00FE4540" w:rsidRDefault="00FE4540">
      <w:pPr>
        <w:pBdr>
          <w:bottom w:val="single" w:sz="4" w:space="1" w:color="C9A24A"/>
        </w:pBdr>
        <w:spacing w:before="100" w:after="100"/>
      </w:pPr>
    </w:p>
    <w:p w14:paraId="6419A339" w14:textId="77777777" w:rsidR="00FE4540" w:rsidRDefault="00FE4540">
      <w:pPr>
        <w:spacing w:after="200"/>
      </w:pPr>
    </w:p>
    <w:p w14:paraId="4697B4DF" w14:textId="77777777" w:rsidR="00FE4540" w:rsidRDefault="007E113E">
      <w:pPr>
        <w:tabs>
          <w:tab w:val="right" w:pos="9026"/>
        </w:tabs>
        <w:spacing w:after="180" w:line="300" w:lineRule="auto"/>
      </w:pPr>
      <w:r>
        <w:rPr>
          <w:color w:val="1F1F1F"/>
        </w:rPr>
        <w:t>Executive Summary</w:t>
      </w:r>
      <w:r>
        <w:rPr>
          <w:color w:val="1F1F1F"/>
        </w:rPr>
        <w:tab/>
      </w:r>
      <w:r>
        <w:rPr>
          <w:b/>
          <w:bCs/>
          <w:color w:val="0E2A47"/>
        </w:rPr>
        <w:t>3</w:t>
      </w:r>
    </w:p>
    <w:p w14:paraId="4502AFD2" w14:textId="77777777" w:rsidR="00FE4540" w:rsidRDefault="007E113E">
      <w:pPr>
        <w:tabs>
          <w:tab w:val="right" w:pos="9026"/>
        </w:tabs>
        <w:spacing w:after="180" w:line="300" w:lineRule="auto"/>
      </w:pPr>
      <w:proofErr w:type="gramStart"/>
      <w:r>
        <w:rPr>
          <w:color w:val="1F1F1F"/>
        </w:rPr>
        <w:t>The Healthcare</w:t>
      </w:r>
      <w:proofErr w:type="gramEnd"/>
      <w:r>
        <w:rPr>
          <w:color w:val="1F1F1F"/>
        </w:rPr>
        <w:t xml:space="preserve"> Breach Landscape</w:t>
      </w:r>
      <w:r>
        <w:rPr>
          <w:color w:val="1F1F1F"/>
        </w:rPr>
        <w:tab/>
      </w:r>
      <w:r>
        <w:rPr>
          <w:b/>
          <w:bCs/>
          <w:color w:val="0E2A47"/>
        </w:rPr>
        <w:t>4</w:t>
      </w:r>
    </w:p>
    <w:p w14:paraId="131FD8D8" w14:textId="77777777" w:rsidR="00FE4540" w:rsidRDefault="007E113E">
      <w:pPr>
        <w:tabs>
          <w:tab w:val="right" w:pos="9026"/>
        </w:tabs>
        <w:spacing w:after="180" w:line="300" w:lineRule="auto"/>
      </w:pPr>
      <w:r>
        <w:rPr>
          <w:color w:val="1F1F1F"/>
        </w:rPr>
        <w:t>HIPAA Is the Floor. HITRUST Is the Standard.</w:t>
      </w:r>
      <w:r>
        <w:rPr>
          <w:color w:val="1F1F1F"/>
        </w:rPr>
        <w:tab/>
      </w:r>
      <w:r>
        <w:rPr>
          <w:b/>
          <w:bCs/>
          <w:color w:val="0E2A47"/>
        </w:rPr>
        <w:t>5</w:t>
      </w:r>
    </w:p>
    <w:p w14:paraId="47CE89DF" w14:textId="77777777" w:rsidR="00FE4540" w:rsidRDefault="007E113E">
      <w:pPr>
        <w:tabs>
          <w:tab w:val="right" w:pos="9026"/>
        </w:tabs>
        <w:spacing w:after="180" w:line="300" w:lineRule="auto"/>
      </w:pPr>
      <w:r>
        <w:rPr>
          <w:color w:val="1F1F1F"/>
        </w:rPr>
        <w:t>Four Categories of Risk in a Non-Certified Vendor</w:t>
      </w:r>
      <w:r>
        <w:rPr>
          <w:color w:val="1F1F1F"/>
        </w:rPr>
        <w:tab/>
      </w:r>
      <w:r>
        <w:rPr>
          <w:b/>
          <w:bCs/>
          <w:color w:val="0E2A47"/>
        </w:rPr>
        <w:t>6</w:t>
      </w:r>
    </w:p>
    <w:p w14:paraId="598BFAB7" w14:textId="77777777" w:rsidR="00FE4540" w:rsidRDefault="007E113E">
      <w:pPr>
        <w:tabs>
          <w:tab w:val="right" w:pos="9026"/>
        </w:tabs>
        <w:spacing w:after="180" w:line="300" w:lineRule="auto"/>
      </w:pPr>
      <w:r>
        <w:rPr>
          <w:color w:val="1F1F1F"/>
        </w:rPr>
        <w:t>The Regulatory Landscape Is Tightening</w:t>
      </w:r>
      <w:r>
        <w:rPr>
          <w:color w:val="1F1F1F"/>
        </w:rPr>
        <w:tab/>
      </w:r>
      <w:r>
        <w:rPr>
          <w:b/>
          <w:bCs/>
          <w:color w:val="0E2A47"/>
        </w:rPr>
        <w:t>7</w:t>
      </w:r>
    </w:p>
    <w:p w14:paraId="6A1E1BFD" w14:textId="77777777" w:rsidR="00FE4540" w:rsidRDefault="007E113E">
      <w:pPr>
        <w:tabs>
          <w:tab w:val="right" w:pos="9026"/>
        </w:tabs>
        <w:spacing w:after="180" w:line="300" w:lineRule="auto"/>
      </w:pPr>
      <w:r>
        <w:rPr>
          <w:color w:val="1F1F1F"/>
        </w:rPr>
        <w:t>A Practical Framework for Evaluating Your Answering Service</w:t>
      </w:r>
      <w:r>
        <w:rPr>
          <w:color w:val="1F1F1F"/>
        </w:rPr>
        <w:tab/>
      </w:r>
      <w:r>
        <w:rPr>
          <w:b/>
          <w:bCs/>
          <w:color w:val="0E2A47"/>
        </w:rPr>
        <w:t>8</w:t>
      </w:r>
    </w:p>
    <w:p w14:paraId="2024AD20" w14:textId="77777777" w:rsidR="00FE4540" w:rsidRDefault="007E113E">
      <w:pPr>
        <w:tabs>
          <w:tab w:val="right" w:pos="9026"/>
        </w:tabs>
        <w:spacing w:after="180" w:line="300" w:lineRule="auto"/>
      </w:pPr>
      <w:r>
        <w:rPr>
          <w:color w:val="1F1F1F"/>
        </w:rPr>
        <w:t>The TAS United Standard</w:t>
      </w:r>
      <w:r>
        <w:rPr>
          <w:color w:val="1F1F1F"/>
        </w:rPr>
        <w:tab/>
      </w:r>
      <w:r>
        <w:rPr>
          <w:b/>
          <w:bCs/>
          <w:color w:val="0E2A47"/>
        </w:rPr>
        <w:t>10</w:t>
      </w:r>
    </w:p>
    <w:p w14:paraId="3A1273E6" w14:textId="77777777" w:rsidR="00FE4540" w:rsidRDefault="007E113E">
      <w:pPr>
        <w:tabs>
          <w:tab w:val="right" w:pos="9026"/>
        </w:tabs>
        <w:spacing w:after="180" w:line="300" w:lineRule="auto"/>
      </w:pPr>
      <w:r>
        <w:rPr>
          <w:color w:val="1F1F1F"/>
        </w:rPr>
        <w:t>Conclusion and Next Steps</w:t>
      </w:r>
      <w:r>
        <w:rPr>
          <w:color w:val="1F1F1F"/>
        </w:rPr>
        <w:tab/>
      </w:r>
      <w:r>
        <w:rPr>
          <w:b/>
          <w:bCs/>
          <w:color w:val="0E2A47"/>
        </w:rPr>
        <w:t>11</w:t>
      </w:r>
    </w:p>
    <w:p w14:paraId="70F51F22" w14:textId="77777777" w:rsidR="00FE4540" w:rsidRDefault="007E113E">
      <w:pPr>
        <w:tabs>
          <w:tab w:val="right" w:pos="9026"/>
        </w:tabs>
        <w:spacing w:after="180" w:line="300" w:lineRule="auto"/>
      </w:pPr>
      <w:r>
        <w:rPr>
          <w:color w:val="1F1F1F"/>
        </w:rPr>
        <w:t>About TAS United</w:t>
      </w:r>
      <w:r>
        <w:rPr>
          <w:color w:val="1F1F1F"/>
        </w:rPr>
        <w:tab/>
      </w:r>
      <w:r>
        <w:rPr>
          <w:b/>
          <w:bCs/>
          <w:color w:val="0E2A47"/>
        </w:rPr>
        <w:t>12</w:t>
      </w:r>
    </w:p>
    <w:p w14:paraId="06B860BA" w14:textId="77777777" w:rsidR="00FE4540" w:rsidRDefault="007E113E">
      <w:r>
        <w:br w:type="page"/>
      </w:r>
    </w:p>
    <w:p w14:paraId="6A637F55" w14:textId="77777777" w:rsidR="00FE4540" w:rsidRDefault="007E113E">
      <w:pPr>
        <w:keepNext/>
        <w:keepLines/>
        <w:spacing w:before="400" w:after="80"/>
      </w:pPr>
      <w:r>
        <w:rPr>
          <w:b/>
          <w:bCs/>
          <w:color w:val="C9A24A"/>
          <w:sz w:val="18"/>
          <w:szCs w:val="18"/>
        </w:rPr>
        <w:lastRenderedPageBreak/>
        <w:t>SECTION 1</w:t>
      </w:r>
    </w:p>
    <w:p w14:paraId="0618CFD3" w14:textId="77777777" w:rsidR="00FE4540" w:rsidRDefault="007E113E">
      <w:pPr>
        <w:pStyle w:val="Heading1"/>
        <w:keepNext/>
        <w:keepLines/>
      </w:pPr>
      <w:r>
        <w:t>Executive Summary</w:t>
      </w:r>
    </w:p>
    <w:p w14:paraId="00E9935E" w14:textId="77777777" w:rsidR="00FE4540" w:rsidRDefault="00FE4540">
      <w:pPr>
        <w:pBdr>
          <w:bottom w:val="single" w:sz="4" w:space="1" w:color="C9A24A"/>
        </w:pBdr>
        <w:spacing w:before="100" w:after="100"/>
      </w:pPr>
    </w:p>
    <w:p w14:paraId="1BC73C17" w14:textId="77777777" w:rsidR="00FE4540" w:rsidRDefault="007E113E">
      <w:pPr>
        <w:spacing w:after="160" w:line="300" w:lineRule="auto"/>
      </w:pPr>
      <w:r>
        <w:rPr>
          <w:color w:val="1F1F1F"/>
        </w:rPr>
        <w:t>Every medical answering service handles protected health information (PHI). Under HIPAA, that makes them a business associate of every healthcare practice, hospital, and specialty group they serve. And in 2025, business associates were the origin point for more than one-third of all reported healthcare data breaches — exposing tens of millions of patient records, generating eight- and nine-figure remediation costs, and triggering Office for Civil Rights (OCR) investigations that flow uphill to the covered e</w:t>
      </w:r>
      <w:r>
        <w:rPr>
          <w:color w:val="1F1F1F"/>
        </w:rPr>
        <w:t>ntity.</w:t>
      </w:r>
    </w:p>
    <w:p w14:paraId="45590803" w14:textId="77777777" w:rsidR="00FE4540" w:rsidRDefault="007E113E">
      <w:pPr>
        <w:spacing w:after="160" w:line="300" w:lineRule="auto"/>
      </w:pPr>
      <w:r>
        <w:rPr>
          <w:color w:val="1F1F1F"/>
        </w:rPr>
        <w:t>Most answering service vendors claim to be "HIPAA compliant." That claim is unverifiable by design. HIPAA has no certification, no recurring third-party audit, and no enforcement mechanism short of a breach. The federal law defines what protection is required; it leaves the proof entirely to self-attestation.</w:t>
      </w:r>
    </w:p>
    <w:p w14:paraId="03952F47" w14:textId="77777777" w:rsidR="00FE4540" w:rsidRDefault="007E113E">
      <w:pPr>
        <w:spacing w:after="160" w:line="300" w:lineRule="auto"/>
      </w:pPr>
      <w:r>
        <w:rPr>
          <w:color w:val="1F1F1F"/>
        </w:rPr>
        <w:t>HITRUST is different. The HITRUST Common Security Framework (CSF) is an independently audited, recurrently recertified, threat-adaptive control standard that harmonizes HIPAA with NIST, ISO 27001, SOC 2, and other major frameworks. Among HITRUST-certified environments, fewer than one percent reported a data breach in the most recent reporting year — a result well outside the broader healthcare industry baseline.</w:t>
      </w:r>
    </w:p>
    <w:p w14:paraId="0D4359DD" w14:textId="77777777" w:rsidR="00FE4540" w:rsidRDefault="007E113E">
      <w:pPr>
        <w:spacing w:after="160" w:line="300" w:lineRule="auto"/>
      </w:pPr>
      <w:r>
        <w:rPr>
          <w:color w:val="1F1F1F"/>
        </w:rPr>
        <w:t>This white paper examines why HITRUST certification — specifically the rigorous r2 tier — is rapidly becoming the procurement standard for medical answering services, what risks healthcare organizations assume when they contract with non-certified vendors, and how to evaluate prospective communication partners against the regulatory landscape coming into force in 2026 and beyond.</w:t>
      </w:r>
    </w:p>
    <w:p w14:paraId="6BDB270F" w14:textId="77777777" w:rsidR="00FE4540" w:rsidRDefault="007E113E">
      <w:pPr>
        <w:spacing w:before="280" w:after="160"/>
      </w:pPr>
      <w:r>
        <w:rPr>
          <w:b/>
          <w:bCs/>
          <w:color w:val="0E2A47"/>
          <w:sz w:val="24"/>
          <w:szCs w:val="24"/>
        </w:rPr>
        <w:t>Key findings</w:t>
      </w:r>
    </w:p>
    <w:p w14:paraId="517657FE" w14:textId="77777777" w:rsidR="00FE4540" w:rsidRDefault="007E113E">
      <w:pPr>
        <w:pStyle w:val="ListParagraph"/>
        <w:numPr>
          <w:ilvl w:val="0"/>
          <w:numId w:val="2"/>
        </w:numPr>
        <w:spacing w:after="120" w:line="300" w:lineRule="auto"/>
      </w:pPr>
      <w:r>
        <w:rPr>
          <w:color w:val="1F1F1F"/>
        </w:rPr>
        <w:t>642+ large healthcare data breaches were reported to OCR in 2025, exposing the PHI of nearly 57 million Americans.</w:t>
      </w:r>
    </w:p>
    <w:p w14:paraId="441A9AB1" w14:textId="77777777" w:rsidR="00FE4540" w:rsidRDefault="007E113E">
      <w:pPr>
        <w:pStyle w:val="ListParagraph"/>
        <w:numPr>
          <w:ilvl w:val="0"/>
          <w:numId w:val="2"/>
        </w:numPr>
        <w:spacing w:after="120" w:line="300" w:lineRule="auto"/>
      </w:pPr>
      <w:r>
        <w:rPr>
          <w:color w:val="1F1F1F"/>
        </w:rPr>
        <w:t>Business associates accounted for ~35% of those breach origins — and a disproportionately large share of affected individuals.</w:t>
      </w:r>
    </w:p>
    <w:p w14:paraId="4BAD55F6" w14:textId="77777777" w:rsidR="00FE4540" w:rsidRDefault="007E113E">
      <w:pPr>
        <w:pStyle w:val="ListParagraph"/>
        <w:numPr>
          <w:ilvl w:val="0"/>
          <w:numId w:val="2"/>
        </w:numPr>
        <w:spacing w:after="120" w:line="300" w:lineRule="auto"/>
      </w:pPr>
      <w:r>
        <w:rPr>
          <w:color w:val="1F1F1F"/>
        </w:rPr>
        <w:t>Covered entities can be held directly liable for the HIPAA violations of their business associates under the Omnibus Rule.</w:t>
      </w:r>
    </w:p>
    <w:p w14:paraId="53C79A27" w14:textId="77777777" w:rsidR="00FE4540" w:rsidRDefault="007E113E">
      <w:pPr>
        <w:pStyle w:val="ListParagraph"/>
        <w:numPr>
          <w:ilvl w:val="0"/>
          <w:numId w:val="2"/>
        </w:numPr>
        <w:spacing w:after="120" w:line="300" w:lineRule="auto"/>
      </w:pPr>
      <w:r>
        <w:rPr>
          <w:color w:val="1F1F1F"/>
        </w:rPr>
        <w:t>The HIPAA Security Rule overhaul effective May 2026 mandates MFA, universal encryption, 24-hour breach reporting, and annual penetration testing.</w:t>
      </w:r>
    </w:p>
    <w:p w14:paraId="2B71B791" w14:textId="77777777" w:rsidR="00FE4540" w:rsidRDefault="007E113E">
      <w:pPr>
        <w:pStyle w:val="ListParagraph"/>
        <w:numPr>
          <w:ilvl w:val="0"/>
          <w:numId w:val="2"/>
        </w:numPr>
        <w:spacing w:after="120" w:line="300" w:lineRule="auto"/>
      </w:pPr>
      <w:r>
        <w:rPr>
          <w:color w:val="1F1F1F"/>
        </w:rPr>
        <w:t>Cyber insurers are increasingly denying coverage or pricing punitively for healthcare entities without a formal framework like HITRUST.</w:t>
      </w:r>
    </w:p>
    <w:p w14:paraId="449BF0A5" w14:textId="77777777" w:rsidR="00FE4540" w:rsidRDefault="007E113E">
      <w:pPr>
        <w:pStyle w:val="ListParagraph"/>
        <w:numPr>
          <w:ilvl w:val="0"/>
          <w:numId w:val="2"/>
        </w:numPr>
        <w:spacing w:after="120" w:line="300" w:lineRule="auto"/>
      </w:pPr>
      <w:r>
        <w:rPr>
          <w:color w:val="1F1F1F"/>
        </w:rPr>
        <w:lastRenderedPageBreak/>
        <w:t>HITRUST r2 is the most rigorous tier — independently audited, recertified every two years, with interim assessment at twelve months.</w:t>
      </w:r>
    </w:p>
    <w:p w14:paraId="2D6BC1E9" w14:textId="77777777" w:rsidR="00FE4540" w:rsidRDefault="007E113E">
      <w:pPr>
        <w:keepNext/>
        <w:keepLines/>
        <w:spacing w:before="400" w:after="80"/>
      </w:pPr>
      <w:r>
        <w:rPr>
          <w:b/>
          <w:bCs/>
          <w:color w:val="C9A24A"/>
          <w:sz w:val="18"/>
          <w:szCs w:val="18"/>
        </w:rPr>
        <w:t>SECTION 2</w:t>
      </w:r>
    </w:p>
    <w:p w14:paraId="19FAC490" w14:textId="77777777" w:rsidR="00FE4540" w:rsidRDefault="007E113E">
      <w:pPr>
        <w:pStyle w:val="Heading1"/>
        <w:keepNext/>
        <w:keepLines/>
      </w:pPr>
      <w:r>
        <w:t>The Healthcare Breach Landscape</w:t>
      </w:r>
    </w:p>
    <w:p w14:paraId="445395A3" w14:textId="77777777" w:rsidR="00FE4540" w:rsidRDefault="00FE4540">
      <w:pPr>
        <w:pBdr>
          <w:bottom w:val="single" w:sz="4" w:space="1" w:color="C9A24A"/>
        </w:pBdr>
        <w:spacing w:before="100" w:after="100"/>
      </w:pPr>
    </w:p>
    <w:p w14:paraId="55A07970" w14:textId="77777777" w:rsidR="00FE4540" w:rsidRDefault="007E113E">
      <w:pPr>
        <w:spacing w:after="160" w:line="300" w:lineRule="auto"/>
      </w:pPr>
      <w:r>
        <w:rPr>
          <w:color w:val="1F1F1F"/>
        </w:rPr>
        <w:t xml:space="preserve">Healthcare is the most-breached industry in the United </w:t>
      </w:r>
      <w:proofErr w:type="gramStart"/>
      <w:r>
        <w:rPr>
          <w:color w:val="1F1F1F"/>
        </w:rPr>
        <w:t>States, and</w:t>
      </w:r>
      <w:proofErr w:type="gramEnd"/>
      <w:r>
        <w:rPr>
          <w:color w:val="1F1F1F"/>
        </w:rPr>
        <w:t xml:space="preserve"> has been for more than a decade. The pattern has shifted in recent years, but not in a reassuring direction: while the headline count of large breaches has plateaued, the share originating at business associates has grown sharply — and so has the cost-per-breach.</w:t>
      </w:r>
    </w:p>
    <w:p w14:paraId="085F94C2" w14:textId="77777777" w:rsidR="00FE4540" w:rsidRDefault="00FE4540">
      <w:pPr>
        <w:spacing w:before="18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E4540" w14:paraId="6F531A1B"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E6F2F2"/>
            <w:tcMar>
              <w:top w:w="220" w:type="dxa"/>
              <w:left w:w="200" w:type="dxa"/>
              <w:bottom w:w="220" w:type="dxa"/>
              <w:right w:w="200" w:type="dxa"/>
            </w:tcMar>
            <w:vAlign w:val="center"/>
          </w:tcPr>
          <w:p w14:paraId="55DA8C80" w14:textId="77777777" w:rsidR="00FE4540" w:rsidRDefault="007E113E">
            <w:pPr>
              <w:spacing w:after="60"/>
              <w:jc w:val="center"/>
            </w:pPr>
            <w:r>
              <w:rPr>
                <w:b/>
                <w:bCs/>
                <w:color w:val="0E2A47"/>
                <w:sz w:val="40"/>
                <w:szCs w:val="40"/>
              </w:rPr>
              <w:t>642+</w:t>
            </w:r>
          </w:p>
          <w:p w14:paraId="3C4CE2EA" w14:textId="77777777" w:rsidR="00FE4540" w:rsidRDefault="007E113E">
            <w:pPr>
              <w:jc w:val="center"/>
            </w:pPr>
            <w:r>
              <w:rPr>
                <w:color w:val="1F1F1F"/>
                <w:sz w:val="18"/>
                <w:szCs w:val="18"/>
              </w:rPr>
              <w:t>Large healthcare data breaches reported to OCR in 2025</w:t>
            </w:r>
          </w:p>
        </w:tc>
        <w:tc>
          <w:tcPr>
            <w:tcW w:w="3000" w:type="dxa"/>
            <w:tcBorders>
              <w:top w:val="none" w:sz="0" w:space="0" w:color="FFFFFF"/>
              <w:left w:val="none" w:sz="0" w:space="0" w:color="FFFFFF"/>
              <w:bottom w:val="none" w:sz="0" w:space="0" w:color="FFFFFF"/>
              <w:right w:val="none" w:sz="0" w:space="0" w:color="FFFFFF"/>
            </w:tcBorders>
            <w:shd w:val="clear" w:color="auto" w:fill="E6F2F2"/>
            <w:tcMar>
              <w:top w:w="220" w:type="dxa"/>
              <w:left w:w="200" w:type="dxa"/>
              <w:bottom w:w="220" w:type="dxa"/>
              <w:right w:w="200" w:type="dxa"/>
            </w:tcMar>
            <w:vAlign w:val="center"/>
          </w:tcPr>
          <w:p w14:paraId="6CAA11BB" w14:textId="77777777" w:rsidR="00FE4540" w:rsidRDefault="007E113E">
            <w:pPr>
              <w:spacing w:after="60"/>
              <w:jc w:val="center"/>
            </w:pPr>
            <w:r>
              <w:rPr>
                <w:b/>
                <w:bCs/>
                <w:color w:val="0E2A47"/>
                <w:sz w:val="40"/>
                <w:szCs w:val="40"/>
              </w:rPr>
              <w:t>57M</w:t>
            </w:r>
          </w:p>
          <w:p w14:paraId="53773442" w14:textId="77777777" w:rsidR="00FE4540" w:rsidRDefault="007E113E">
            <w:pPr>
              <w:jc w:val="center"/>
            </w:pPr>
            <w:r>
              <w:rPr>
                <w:color w:val="1F1F1F"/>
                <w:sz w:val="18"/>
                <w:szCs w:val="18"/>
              </w:rPr>
              <w:t>Individuals whose PHI was exposed or improperly accessed in 2025</w:t>
            </w:r>
          </w:p>
        </w:tc>
        <w:tc>
          <w:tcPr>
            <w:tcW w:w="3000" w:type="dxa"/>
            <w:tcBorders>
              <w:top w:val="none" w:sz="0" w:space="0" w:color="FFFFFF"/>
              <w:left w:val="none" w:sz="0" w:space="0" w:color="FFFFFF"/>
              <w:bottom w:val="none" w:sz="0" w:space="0" w:color="FFFFFF"/>
              <w:right w:val="none" w:sz="0" w:space="0" w:color="FFFFFF"/>
            </w:tcBorders>
            <w:shd w:val="clear" w:color="auto" w:fill="E6F2F2"/>
            <w:tcMar>
              <w:top w:w="220" w:type="dxa"/>
              <w:left w:w="200" w:type="dxa"/>
              <w:bottom w:w="220" w:type="dxa"/>
              <w:right w:w="200" w:type="dxa"/>
            </w:tcMar>
            <w:vAlign w:val="center"/>
          </w:tcPr>
          <w:p w14:paraId="1F1CB599" w14:textId="77777777" w:rsidR="00FE4540" w:rsidRDefault="007E113E">
            <w:pPr>
              <w:spacing w:after="60"/>
              <w:jc w:val="center"/>
            </w:pPr>
            <w:r>
              <w:rPr>
                <w:b/>
                <w:bCs/>
                <w:color w:val="0E2A47"/>
                <w:sz w:val="40"/>
                <w:szCs w:val="40"/>
              </w:rPr>
              <w:t>$7.42M</w:t>
            </w:r>
          </w:p>
          <w:p w14:paraId="2B6F7E75" w14:textId="77777777" w:rsidR="00FE4540" w:rsidRDefault="007E113E">
            <w:pPr>
              <w:jc w:val="center"/>
            </w:pPr>
            <w:r>
              <w:rPr>
                <w:color w:val="1F1F1F"/>
                <w:sz w:val="18"/>
                <w:szCs w:val="18"/>
              </w:rPr>
              <w:t>Average cost of a healthcare data breach (IBM, 2025)</w:t>
            </w:r>
          </w:p>
        </w:tc>
      </w:tr>
    </w:tbl>
    <w:p w14:paraId="621D6236" w14:textId="77777777" w:rsidR="00FE4540" w:rsidRDefault="00FE4540">
      <w:pPr>
        <w:spacing w:before="280"/>
      </w:pPr>
    </w:p>
    <w:p w14:paraId="1C4D9ABE" w14:textId="77777777" w:rsidR="00FE4540" w:rsidRDefault="007E113E">
      <w:pPr>
        <w:spacing w:after="160" w:line="300" w:lineRule="auto"/>
      </w:pPr>
      <w:r>
        <w:rPr>
          <w:color w:val="1F1F1F"/>
        </w:rPr>
        <w:t>Three trends should concern any healthcare organization evaluating its vendor portfolio:</w:t>
      </w:r>
    </w:p>
    <w:p w14:paraId="68363ECB" w14:textId="77777777" w:rsidR="00FE4540" w:rsidRDefault="007E113E">
      <w:pPr>
        <w:keepNext/>
        <w:keepLines/>
        <w:spacing w:before="220" w:after="100"/>
      </w:pPr>
      <w:r>
        <w:rPr>
          <w:b/>
          <w:bCs/>
          <w:color w:val="1F8A8A"/>
          <w:sz w:val="24"/>
          <w:szCs w:val="24"/>
        </w:rPr>
        <w:t>1. Business associates are now the prime risk surface.</w:t>
      </w:r>
    </w:p>
    <w:p w14:paraId="0413CE70" w14:textId="77777777" w:rsidR="00FE4540" w:rsidRDefault="007E113E">
      <w:pPr>
        <w:spacing w:after="160" w:line="300" w:lineRule="auto"/>
      </w:pPr>
      <w:r>
        <w:rPr>
          <w:color w:val="1F1F1F"/>
        </w:rPr>
        <w:t xml:space="preserve">In 2025, roughly 35.8% of reported large breaches originated </w:t>
      </w:r>
      <w:proofErr w:type="gramStart"/>
      <w:r>
        <w:rPr>
          <w:color w:val="1F1F1F"/>
        </w:rPr>
        <w:t>at</w:t>
      </w:r>
      <w:proofErr w:type="gramEnd"/>
      <w:r>
        <w:rPr>
          <w:color w:val="1F1F1F"/>
        </w:rPr>
        <w:t xml:space="preserve"> business associates — vendors, contractors, clearinghouses, and outsourced service providers. Because a single business associate can serve dozens or hundreds of covered entities, the blast radius of a vendor-side incident is far larger than a comparable breach at an individual provider. In 2023, business associate breaches exposed more than 93 million records compared with 34.9 </w:t>
      </w:r>
      <w:proofErr w:type="gramStart"/>
      <w:r>
        <w:rPr>
          <w:color w:val="1F1F1F"/>
        </w:rPr>
        <w:t>million at</w:t>
      </w:r>
      <w:proofErr w:type="gramEnd"/>
      <w:r>
        <w:rPr>
          <w:color w:val="1F1F1F"/>
        </w:rPr>
        <w:t xml:space="preserve"> providers.</w:t>
      </w:r>
    </w:p>
    <w:p w14:paraId="06E34641" w14:textId="77777777" w:rsidR="00FE4540" w:rsidRDefault="007E113E">
      <w:pPr>
        <w:keepNext/>
        <w:keepLines/>
        <w:spacing w:before="220" w:after="100"/>
      </w:pPr>
      <w:r>
        <w:rPr>
          <w:b/>
          <w:bCs/>
          <w:color w:val="1F8A8A"/>
          <w:sz w:val="24"/>
          <w:szCs w:val="24"/>
        </w:rPr>
        <w:t>2. Hacking and ransomware now dominate the breach mix.</w:t>
      </w:r>
    </w:p>
    <w:p w14:paraId="580ADB7E" w14:textId="77777777" w:rsidR="00FE4540" w:rsidRDefault="007E113E">
      <w:pPr>
        <w:spacing w:after="160" w:line="300" w:lineRule="auto"/>
      </w:pPr>
      <w:r>
        <w:rPr>
          <w:color w:val="1F1F1F"/>
        </w:rPr>
        <w:t>Approximately 80% of recent healthcare breaches stem from hacking and IT incidents, a dramatic shift from the era of lost laptops and misplaced paperwork. The attack surface has moved from physical to digital — and any vendor handling PHI is now operating in an environment where targeted attacks, credential theft, and ransomware are routine threats rather than tail risks.</w:t>
      </w:r>
    </w:p>
    <w:p w14:paraId="33934D3C" w14:textId="77777777" w:rsidR="00FE4540" w:rsidRDefault="007E113E">
      <w:pPr>
        <w:keepNext/>
        <w:keepLines/>
        <w:spacing w:before="220" w:after="100"/>
      </w:pPr>
      <w:r>
        <w:rPr>
          <w:b/>
          <w:bCs/>
          <w:color w:val="1F8A8A"/>
          <w:sz w:val="24"/>
          <w:szCs w:val="24"/>
        </w:rPr>
        <w:t>3. Enforcement is intensifying, even as breach counts plateau.</w:t>
      </w:r>
    </w:p>
    <w:p w14:paraId="3506D62E" w14:textId="77777777" w:rsidR="00FE4540" w:rsidRDefault="007E113E">
      <w:pPr>
        <w:spacing w:after="160" w:line="300" w:lineRule="auto"/>
      </w:pPr>
      <w:r>
        <w:rPr>
          <w:color w:val="1F1F1F"/>
        </w:rPr>
        <w:t>OCR collected approximately $7.9 million across HIPAA enforcement actions in 2025 alone, with civil monetary penalties scaling up to $25,000 per violation category per year. State attorneys general now routinely bring parallel actions under their own consumer protection and breach notification statutes. Class action litigation following a breach is no longer an exception; it is the default.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E4540" w14:paraId="40B6D5CA" w14:textId="77777777">
        <w:tblPrEx>
          <w:tblCellMar>
            <w:top w:w="0" w:type="dxa"/>
            <w:bottom w:w="0" w:type="dxa"/>
          </w:tblCellMar>
        </w:tblPrEx>
        <w:tc>
          <w:tcPr>
            <w:tcW w:w="9360" w:type="dxa"/>
            <w:tcBorders>
              <w:top w:val="single" w:sz="4" w:space="0" w:color="1F8A8A"/>
              <w:left w:val="single" w:sz="24" w:space="0" w:color="1F8A8A"/>
              <w:bottom w:val="single" w:sz="4" w:space="0" w:color="1F8A8A"/>
              <w:right w:val="single" w:sz="4" w:space="0" w:color="1F8A8A"/>
            </w:tcBorders>
            <w:shd w:val="clear" w:color="auto" w:fill="E8ECF1"/>
            <w:tcMar>
              <w:top w:w="240" w:type="dxa"/>
              <w:left w:w="280" w:type="dxa"/>
              <w:bottom w:w="240" w:type="dxa"/>
              <w:right w:w="280" w:type="dxa"/>
            </w:tcMar>
          </w:tcPr>
          <w:p w14:paraId="62538551" w14:textId="77777777" w:rsidR="00FE4540" w:rsidRDefault="007E113E">
            <w:pPr>
              <w:spacing w:after="140"/>
            </w:pPr>
            <w:r>
              <w:rPr>
                <w:b/>
                <w:bCs/>
                <w:color w:val="0E2A47"/>
                <w:sz w:val="24"/>
                <w:szCs w:val="24"/>
              </w:rPr>
              <w:lastRenderedPageBreak/>
              <w:t>Why this matters for your answering service</w:t>
            </w:r>
          </w:p>
          <w:p w14:paraId="392E4FC4" w14:textId="77777777" w:rsidR="00FE4540" w:rsidRDefault="007E113E">
            <w:pPr>
              <w:spacing w:line="300" w:lineRule="auto"/>
            </w:pPr>
            <w:r>
              <w:rPr>
                <w:color w:val="1F1F1F"/>
              </w:rPr>
              <w:t xml:space="preserve">A medical answering service is, by every legal definition, a business associate. It receives, transmits, and often stores PHI in the form of patient names, dates of birth, medications, symptom descriptions, and demographic information. It is a soft target by </w:t>
            </w:r>
            <w:proofErr w:type="gramStart"/>
            <w:r>
              <w:rPr>
                <w:color w:val="1F1F1F"/>
              </w:rPr>
              <w:t>design —</w:t>
            </w:r>
            <w:proofErr w:type="gramEnd"/>
            <w:r>
              <w:rPr>
                <w:color w:val="1F1F1F"/>
              </w:rPr>
              <w:t xml:space="preserve"> </w:t>
            </w:r>
            <w:proofErr w:type="gramStart"/>
            <w:r>
              <w:rPr>
                <w:color w:val="1F1F1F"/>
              </w:rPr>
              <w:t>high call</w:t>
            </w:r>
            <w:proofErr w:type="gramEnd"/>
            <w:r>
              <w:rPr>
                <w:color w:val="1F1F1F"/>
              </w:rPr>
              <w:t xml:space="preserve"> volume, distributed workforce, telephony infrastructure that crosses multiple networks — and it sits at the same level of legal exposure as any other downstream vendor in your supply chain.</w:t>
            </w:r>
          </w:p>
        </w:tc>
      </w:tr>
    </w:tbl>
    <w:p w14:paraId="41347A14" w14:textId="77777777" w:rsidR="00FE4540" w:rsidRDefault="007E113E">
      <w:pPr>
        <w:keepNext/>
        <w:keepLines/>
        <w:spacing w:before="400" w:after="80"/>
      </w:pPr>
      <w:r>
        <w:rPr>
          <w:b/>
          <w:bCs/>
          <w:color w:val="C9A24A"/>
          <w:sz w:val="18"/>
          <w:szCs w:val="18"/>
        </w:rPr>
        <w:t>SECTION 3</w:t>
      </w:r>
    </w:p>
    <w:p w14:paraId="153C26FD" w14:textId="77777777" w:rsidR="00FE4540" w:rsidRDefault="007E113E">
      <w:pPr>
        <w:pStyle w:val="Heading1"/>
        <w:keepNext/>
        <w:keepLines/>
      </w:pPr>
      <w:r>
        <w:t>HIPAA Is the Floor. HITRUST Is the Standard.</w:t>
      </w:r>
    </w:p>
    <w:p w14:paraId="3FB06398" w14:textId="77777777" w:rsidR="00FE4540" w:rsidRDefault="00FE4540">
      <w:pPr>
        <w:pBdr>
          <w:bottom w:val="single" w:sz="4" w:space="1" w:color="C9A24A"/>
        </w:pBdr>
        <w:spacing w:before="100" w:after="100"/>
      </w:pPr>
    </w:p>
    <w:p w14:paraId="6CE99416" w14:textId="77777777" w:rsidR="00FE4540" w:rsidRDefault="007E113E">
      <w:pPr>
        <w:spacing w:after="160" w:line="300" w:lineRule="auto"/>
      </w:pPr>
      <w:r>
        <w:rPr>
          <w:color w:val="1F1F1F"/>
        </w:rPr>
        <w:t>HIPAA is a federal law. It defines what covered entities and business associates must do to protect PHI — but it is famously non-prescriptive about how. There is no HIPAA certificate, no annual stamp of approval, no inspector who walks through a vendor's call center and signs off. Any vendor can claim HIPAA compliance, and almost all of them do. Self-attestation is the industry default.</w:t>
      </w:r>
    </w:p>
    <w:p w14:paraId="57E2EFF9" w14:textId="77777777" w:rsidR="00FE4540" w:rsidRDefault="007E113E">
      <w:pPr>
        <w:spacing w:after="160" w:line="300" w:lineRule="auto"/>
      </w:pPr>
      <w:r>
        <w:rPr>
          <w:color w:val="1F1F1F"/>
        </w:rPr>
        <w:t>HITRUST is different. The HITRUST Common Security Framework (</w:t>
      </w:r>
      <w:proofErr w:type="gramStart"/>
      <w:r>
        <w:rPr>
          <w:color w:val="1F1F1F"/>
        </w:rPr>
        <w:t>CSF) —</w:t>
      </w:r>
      <w:proofErr w:type="gramEnd"/>
      <w:r>
        <w:rPr>
          <w:color w:val="1F1F1F"/>
        </w:rPr>
        <w:t xml:space="preserve"> now in version 11.7 as of December 2025 — is a comprehensive control framework that harmonizes HIPAA, NIST 800-53, ISO 27001, SOC 2, PCI DSS, CIS Controls, and dozens of other standards into a single auditable set of requirements. It is independently administered by the HITRUST Alliance, externally validated by authorized assessor firms, and quality-reviewed by HITRUST itself before any certification is issued.</w:t>
      </w:r>
    </w:p>
    <w:p w14:paraId="381D1786" w14:textId="77777777" w:rsidR="00FE4540" w:rsidRDefault="007E113E">
      <w:pPr>
        <w:keepNext/>
        <w:keepLines/>
        <w:spacing w:before="220" w:after="100"/>
      </w:pPr>
      <w:r>
        <w:rPr>
          <w:b/>
          <w:bCs/>
          <w:color w:val="1F8A8A"/>
          <w:sz w:val="24"/>
          <w:szCs w:val="24"/>
        </w:rPr>
        <w:t>The three HITRUST certification tiers</w:t>
      </w:r>
    </w:p>
    <w:p w14:paraId="4F1C3104" w14:textId="77777777" w:rsidR="00FE4540" w:rsidRDefault="007E113E">
      <w:pPr>
        <w:pStyle w:val="ListParagraph"/>
        <w:numPr>
          <w:ilvl w:val="0"/>
          <w:numId w:val="3"/>
        </w:numPr>
        <w:spacing w:after="120" w:line="300" w:lineRule="auto"/>
      </w:pPr>
      <w:r>
        <w:rPr>
          <w:b/>
          <w:bCs/>
          <w:color w:val="0E2A47"/>
        </w:rPr>
        <w:t>e1 (Essentials):</w:t>
      </w:r>
      <w:r>
        <w:rPr>
          <w:color w:val="1F1F1F"/>
        </w:rPr>
        <w:t xml:space="preserve"> 44 foundational controls. Suited </w:t>
      </w:r>
      <w:proofErr w:type="gramStart"/>
      <w:r>
        <w:rPr>
          <w:color w:val="1F1F1F"/>
        </w:rPr>
        <w:t>to</w:t>
      </w:r>
      <w:proofErr w:type="gramEnd"/>
      <w:r>
        <w:rPr>
          <w:color w:val="1F1F1F"/>
        </w:rPr>
        <w:t xml:space="preserve"> lower-risk organizations and as a starting point for security program maturity.</w:t>
      </w:r>
    </w:p>
    <w:p w14:paraId="07914F48" w14:textId="77777777" w:rsidR="00FE4540" w:rsidRDefault="007E113E">
      <w:pPr>
        <w:pStyle w:val="ListParagraph"/>
        <w:numPr>
          <w:ilvl w:val="0"/>
          <w:numId w:val="3"/>
        </w:numPr>
        <w:spacing w:after="120" w:line="300" w:lineRule="auto"/>
      </w:pPr>
      <w:r>
        <w:rPr>
          <w:b/>
          <w:bCs/>
          <w:color w:val="0E2A47"/>
        </w:rPr>
        <w:t>i1 (Implemented, 1-Year):</w:t>
      </w:r>
      <w:r>
        <w:rPr>
          <w:color w:val="1F1F1F"/>
        </w:rPr>
        <w:t xml:space="preserve"> ~187-219 controls. A one-year certification offering moderate assurance for organizations with established programs.</w:t>
      </w:r>
    </w:p>
    <w:p w14:paraId="6C9B350D" w14:textId="77777777" w:rsidR="00FE4540" w:rsidRDefault="007E113E">
      <w:pPr>
        <w:pStyle w:val="ListParagraph"/>
        <w:numPr>
          <w:ilvl w:val="0"/>
          <w:numId w:val="3"/>
        </w:numPr>
        <w:spacing w:after="120" w:line="300" w:lineRule="auto"/>
      </w:pPr>
      <w:r>
        <w:rPr>
          <w:b/>
          <w:bCs/>
          <w:color w:val="0E2A47"/>
        </w:rPr>
        <w:t>r2 (Risk-Based, 2-Year):</w:t>
      </w:r>
      <w:r>
        <w:rPr>
          <w:color w:val="1F1F1F"/>
        </w:rPr>
        <w:t xml:space="preserve"> 300-400+ controls tailored to the organization's specific risk profile, drawn from a library of 2,000+ requirements. The most rigorous </w:t>
      </w:r>
      <w:proofErr w:type="gramStart"/>
      <w:r>
        <w:rPr>
          <w:color w:val="1F1F1F"/>
        </w:rPr>
        <w:t>tier</w:t>
      </w:r>
      <w:proofErr w:type="gramEnd"/>
      <w:r>
        <w:rPr>
          <w:color w:val="1F1F1F"/>
        </w:rPr>
        <w:t>, requiring independent external assessment and HITRUST quality review, with interim assessment at twelve months and full recertification every two years.</w:t>
      </w:r>
    </w:p>
    <w:p w14:paraId="194F20E5" w14:textId="77777777" w:rsidR="00FE4540" w:rsidRDefault="007E113E">
      <w:pPr>
        <w:pBdr>
          <w:left w:val="single" w:sz="24" w:space="16" w:color="1F8A8A"/>
        </w:pBdr>
        <w:spacing w:before="280" w:after="320" w:line="320" w:lineRule="auto"/>
        <w:ind w:left="360" w:right="360"/>
      </w:pPr>
      <w:r>
        <w:rPr>
          <w:i/>
          <w:iCs/>
          <w:color w:val="0E2A47"/>
          <w:sz w:val="26"/>
          <w:szCs w:val="26"/>
        </w:rPr>
        <w:t>"HIPAA compliant" is a claim. HITRUST certified is a verdict. In healthcare, the difference shows up the moment something goes wrong.</w:t>
      </w:r>
    </w:p>
    <w:p w14:paraId="0BADBDB2" w14:textId="77777777" w:rsidR="00FE4540" w:rsidRDefault="007E113E">
      <w:pPr>
        <w:keepNext/>
        <w:keepLines/>
        <w:spacing w:before="220" w:after="100"/>
      </w:pPr>
      <w:r>
        <w:rPr>
          <w:b/>
          <w:bCs/>
          <w:color w:val="1F8A8A"/>
          <w:sz w:val="24"/>
          <w:szCs w:val="24"/>
        </w:rPr>
        <w:lastRenderedPageBreak/>
        <w:t>Why this evidence matters</w:t>
      </w:r>
    </w:p>
    <w:p w14:paraId="23531A9A" w14:textId="77777777" w:rsidR="00FE4540" w:rsidRDefault="007E113E">
      <w:pPr>
        <w:spacing w:after="160" w:line="300" w:lineRule="auto"/>
      </w:pPr>
      <w:r>
        <w:rPr>
          <w:color w:val="1F1F1F"/>
        </w:rPr>
        <w:t>The HITRUST Alliance's most recent Trust Report found that fewer than one percent of HITRUST-certified environments reported a data-related security breach in the prior year. When set against the industry baseline — where roughly 60 large breaches per month have been reported to OCR over each of the past six years — the gap is not marginal. It reflects the operational discipline that recurring third-party validation forces on an organization, and the rapid remediation cadence that the HITRUST quality review</w:t>
      </w:r>
      <w:r>
        <w:rPr>
          <w:color w:val="1F1F1F"/>
        </w:rPr>
        <w:t xml:space="preserve"> process demands.</w:t>
      </w:r>
    </w:p>
    <w:p w14:paraId="46303D9E" w14:textId="77777777" w:rsidR="00FE4540" w:rsidRDefault="007E113E">
      <w:pPr>
        <w:spacing w:after="160" w:line="300" w:lineRule="auto"/>
      </w:pPr>
      <w:r>
        <w:rPr>
          <w:color w:val="1F1F1F"/>
        </w:rPr>
        <w:t>Health plans, hospital systems, government programs, and enterprise payers increasingly accept HITRUST certification as evidence of HIPAA compliance, eliminating the need for parallel vendor audits and risk questionnaires. For a vendor's clients, that translates into faster procurement, lower diligence costs, and — most importantly — substantially reduced residual risk.</w:t>
      </w:r>
    </w:p>
    <w:p w14:paraId="43B8AEAA" w14:textId="77777777" w:rsidR="00FE4540" w:rsidRDefault="007E113E">
      <w:pPr>
        <w:keepNext/>
        <w:keepLines/>
        <w:spacing w:before="400" w:after="80"/>
      </w:pPr>
      <w:r>
        <w:rPr>
          <w:b/>
          <w:bCs/>
          <w:color w:val="C9A24A"/>
          <w:sz w:val="18"/>
          <w:szCs w:val="18"/>
        </w:rPr>
        <w:t>SECTION 4</w:t>
      </w:r>
    </w:p>
    <w:p w14:paraId="1F11888D" w14:textId="77777777" w:rsidR="00FE4540" w:rsidRDefault="007E113E">
      <w:pPr>
        <w:pStyle w:val="Heading1"/>
        <w:keepNext/>
        <w:keepLines/>
      </w:pPr>
      <w:r>
        <w:t>Four Categories of Risk in a Non-Certified Vendor</w:t>
      </w:r>
    </w:p>
    <w:p w14:paraId="7EB04610" w14:textId="77777777" w:rsidR="00FE4540" w:rsidRDefault="00FE4540">
      <w:pPr>
        <w:pBdr>
          <w:bottom w:val="single" w:sz="4" w:space="1" w:color="C9A24A"/>
        </w:pBdr>
        <w:spacing w:before="100" w:after="100"/>
      </w:pPr>
    </w:p>
    <w:p w14:paraId="4B7CC088" w14:textId="77777777" w:rsidR="00FE4540" w:rsidRDefault="007E113E">
      <w:pPr>
        <w:spacing w:after="160" w:line="300" w:lineRule="auto"/>
      </w:pPr>
      <w:r>
        <w:rPr>
          <w:color w:val="1F1F1F"/>
        </w:rPr>
        <w:t>When a healthcare organization contracts with an answering service that lacks independent certification, the risks fall into four categories. Each one compounds the others when an incident occurs.</w:t>
      </w:r>
    </w:p>
    <w:p w14:paraId="0BF310D4" w14:textId="77777777" w:rsidR="00FE4540" w:rsidRDefault="007E113E">
      <w:pPr>
        <w:keepNext/>
        <w:keepLines/>
        <w:spacing w:before="220" w:after="100"/>
      </w:pPr>
      <w:r>
        <w:rPr>
          <w:b/>
          <w:bCs/>
          <w:color w:val="1F8A8A"/>
          <w:sz w:val="24"/>
          <w:szCs w:val="24"/>
        </w:rPr>
        <w:t>1. Direct liability flows uphill.</w:t>
      </w:r>
    </w:p>
    <w:p w14:paraId="06D94C51" w14:textId="77777777" w:rsidR="00FE4540" w:rsidRDefault="007E113E">
      <w:pPr>
        <w:spacing w:after="160" w:line="300" w:lineRule="auto"/>
      </w:pPr>
      <w:r>
        <w:rPr>
          <w:color w:val="1F1F1F"/>
        </w:rPr>
        <w:t>Under the HIPAA Omnibus Rule, a covered entity can be held liable for the HIPAA violations of its business associate if the covered entity "knew, or by exercising reasonable diligence, should have known" of a pattern of non-compliance. Translation: when an answering service is breached, OCR investigates the covered entity as well. The diligence file had better be substantially thicker than a stack of vendor self-attestations and a signed Business Associate Agreement.</w:t>
      </w:r>
    </w:p>
    <w:p w14:paraId="595174D9" w14:textId="77777777" w:rsidR="00FE4540" w:rsidRDefault="007E113E">
      <w:pPr>
        <w:spacing w:after="160" w:line="300" w:lineRule="auto"/>
      </w:pPr>
      <w:r>
        <w:rPr>
          <w:color w:val="1F1F1F"/>
        </w:rPr>
        <w:t>In recent enforcement actions, OCR has cited the absence of a documented risk analysis — by either the covered entity or its business associate — as a recurring failure. Vendor certification is one of the most efficient ways to demonstrate that diligence was conducted.</w:t>
      </w:r>
    </w:p>
    <w:p w14:paraId="24FC963B" w14:textId="77777777" w:rsidR="00FE4540" w:rsidRDefault="007E113E">
      <w:pPr>
        <w:keepNext/>
        <w:keepLines/>
        <w:spacing w:before="220" w:after="100"/>
      </w:pPr>
      <w:r>
        <w:rPr>
          <w:b/>
          <w:bCs/>
          <w:color w:val="1F8A8A"/>
          <w:sz w:val="24"/>
          <w:szCs w:val="24"/>
        </w:rPr>
        <w:t>2. The financial penalties are not theoretical.</w:t>
      </w:r>
    </w:p>
    <w:p w14:paraId="091C1068" w14:textId="77777777" w:rsidR="00FE4540" w:rsidRDefault="007E113E">
      <w:pPr>
        <w:spacing w:after="160" w:line="300" w:lineRule="auto"/>
      </w:pPr>
      <w:r>
        <w:rPr>
          <w:color w:val="1F1F1F"/>
        </w:rPr>
        <w:t>OCR collected approximately $7.9 million in HIPAA enforcement settlements in 2025, with individual penalties scaling up to $25,000 per violation category per year. The IBM 2025 Cost of a Data Breach Report measured the average healthcare breach at $7.42 million — the highest of any industry studied. Downtime costs compound the direct breach expenses; hospitals can lose up to $900,000 per day when core systems are offline. Class action settlements following large breaches now routinely run into the tens of m</w:t>
      </w:r>
      <w:r>
        <w:rPr>
          <w:color w:val="1F1F1F"/>
        </w:rPr>
        <w:t>illions.</w:t>
      </w:r>
    </w:p>
    <w:p w14:paraId="14AE1763" w14:textId="77777777" w:rsidR="00FE4540" w:rsidRDefault="007E113E">
      <w:pPr>
        <w:keepNext/>
        <w:keepLines/>
        <w:spacing w:before="220" w:after="100"/>
      </w:pPr>
      <w:r>
        <w:rPr>
          <w:b/>
          <w:bCs/>
          <w:color w:val="1F8A8A"/>
          <w:sz w:val="24"/>
          <w:szCs w:val="24"/>
        </w:rPr>
        <w:lastRenderedPageBreak/>
        <w:t>3. Breach notification cascades are expensive and public.</w:t>
      </w:r>
    </w:p>
    <w:p w14:paraId="75C3EDE1" w14:textId="77777777" w:rsidR="00FE4540" w:rsidRDefault="007E113E">
      <w:pPr>
        <w:spacing w:after="160" w:line="300" w:lineRule="auto"/>
      </w:pPr>
      <w:r>
        <w:rPr>
          <w:color w:val="1F1F1F"/>
        </w:rPr>
        <w:t>Under the HIPAA Breach Notification Rule, incidents affecting 500 or more individuals must be reported to OCR within 60 days, posted to the publicly searchable HHS "Wall of Shame," and disclosed to prominent local media. When the breach originates with an answering service vendor, the covered entity's name appears in the public record. Patients learn of the incident from a mailed notification letter — often the same letter that prompts them to call a plaintiffs' attorney whose firm has been monitoring the O</w:t>
      </w:r>
      <w:r>
        <w:rPr>
          <w:color w:val="1F1F1F"/>
        </w:rPr>
        <w:t>CR breach portal as a lead list.</w:t>
      </w:r>
    </w:p>
    <w:p w14:paraId="7889C46D" w14:textId="77777777" w:rsidR="00FE4540" w:rsidRDefault="007E113E">
      <w:pPr>
        <w:spacing w:after="160" w:line="300" w:lineRule="auto"/>
      </w:pPr>
      <w:r>
        <w:rPr>
          <w:color w:val="1F1F1F"/>
        </w:rPr>
        <w:t>The new HIPAA Security Rule overhaul takes this further. Effective May 2026, certain incidents will require notification within 24 hours, not 60 days, materially compressing the response window for any vendor that does not already have a mature incident response program.</w:t>
      </w:r>
    </w:p>
    <w:p w14:paraId="584174D2" w14:textId="77777777" w:rsidR="00FE4540" w:rsidRDefault="007E113E">
      <w:pPr>
        <w:keepNext/>
        <w:keepLines/>
        <w:spacing w:before="220" w:after="100"/>
      </w:pPr>
      <w:r>
        <w:rPr>
          <w:b/>
          <w:bCs/>
          <w:color w:val="1F8A8A"/>
          <w:sz w:val="24"/>
          <w:szCs w:val="24"/>
        </w:rPr>
        <w:t>4. Cyber insurance is harder and more expensive to obtain.</w:t>
      </w:r>
    </w:p>
    <w:p w14:paraId="622B736E" w14:textId="77777777" w:rsidR="00FE4540" w:rsidRDefault="007E113E">
      <w:pPr>
        <w:spacing w:after="160" w:line="300" w:lineRule="auto"/>
      </w:pPr>
      <w:r>
        <w:rPr>
          <w:color w:val="1F1F1F"/>
        </w:rPr>
        <w:t>The cyber insurance market has hardened considerably over the past three years. Insurers now routinely deny coverage outright — or price it punitively — for healthcare entities that cannot demonstrate a formal security framework. Certified organizations report premium discounts of up to 25 percent compared with similarly situated uncertified peers, and underwriting timelines that are dramatically shorter. For organizations that have struggled to obtain or renew cyber coverage, vendor certification is increa</w:t>
      </w:r>
      <w:r>
        <w:rPr>
          <w:color w:val="1F1F1F"/>
        </w:rPr>
        <w:t>singly a prerequisite question on the application itself.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E4540" w14:paraId="27C80AF2" w14:textId="77777777">
        <w:tblPrEx>
          <w:tblCellMar>
            <w:top w:w="0" w:type="dxa"/>
            <w:bottom w:w="0" w:type="dxa"/>
          </w:tblCellMar>
        </w:tblPrEx>
        <w:tc>
          <w:tcPr>
            <w:tcW w:w="9360" w:type="dxa"/>
            <w:tcBorders>
              <w:top w:val="single" w:sz="4" w:space="0" w:color="1F8A8A"/>
              <w:left w:val="single" w:sz="24" w:space="0" w:color="1F8A8A"/>
              <w:bottom w:val="single" w:sz="4" w:space="0" w:color="1F8A8A"/>
              <w:right w:val="single" w:sz="4" w:space="0" w:color="1F8A8A"/>
            </w:tcBorders>
            <w:shd w:val="clear" w:color="auto" w:fill="E8ECF1"/>
            <w:tcMar>
              <w:top w:w="240" w:type="dxa"/>
              <w:left w:w="280" w:type="dxa"/>
              <w:bottom w:w="240" w:type="dxa"/>
              <w:right w:w="280" w:type="dxa"/>
            </w:tcMar>
          </w:tcPr>
          <w:p w14:paraId="37F82651" w14:textId="77777777" w:rsidR="00FE4540" w:rsidRDefault="007E113E">
            <w:pPr>
              <w:spacing w:after="140"/>
            </w:pPr>
            <w:r>
              <w:rPr>
                <w:b/>
                <w:bCs/>
                <w:color w:val="0E2A47"/>
                <w:sz w:val="24"/>
                <w:szCs w:val="24"/>
              </w:rPr>
              <w:t>The compounding effect</w:t>
            </w:r>
          </w:p>
          <w:p w14:paraId="45E2C5B8" w14:textId="77777777" w:rsidR="00FE4540" w:rsidRDefault="007E113E">
            <w:pPr>
              <w:spacing w:line="300" w:lineRule="auto"/>
            </w:pPr>
            <w:r>
              <w:rPr>
                <w:color w:val="1F1F1F"/>
              </w:rPr>
              <w:t>These four risks are not additive; they are multiplicative. A single breach at a non-certified answering service typically triggers all four categories simultaneously: an OCR investigation that reaches the covered entity, direct financial penalties, public breach notification with attendant reputational damage, and a hard renewal or non-renewal at the next cyber insurance cycle. The cost of choosing a certified vendor at the front of the contracting cycle is a fraction of the cost of choosing wrong.</w:t>
            </w:r>
          </w:p>
        </w:tc>
      </w:tr>
    </w:tbl>
    <w:p w14:paraId="4058BD5B" w14:textId="77777777" w:rsidR="00FE4540" w:rsidRDefault="007E113E">
      <w:pPr>
        <w:keepNext/>
        <w:keepLines/>
        <w:spacing w:before="400" w:after="80"/>
      </w:pPr>
      <w:r>
        <w:rPr>
          <w:b/>
          <w:bCs/>
          <w:color w:val="C9A24A"/>
          <w:sz w:val="18"/>
          <w:szCs w:val="18"/>
        </w:rPr>
        <w:t>SECTION 5</w:t>
      </w:r>
    </w:p>
    <w:p w14:paraId="276524ED" w14:textId="77777777" w:rsidR="00FE4540" w:rsidRDefault="007E113E">
      <w:pPr>
        <w:pStyle w:val="Heading1"/>
        <w:keepNext/>
        <w:keepLines/>
      </w:pPr>
      <w:r>
        <w:t>The Regulatory Landscape Is Tightening</w:t>
      </w:r>
    </w:p>
    <w:p w14:paraId="6E465BE8" w14:textId="77777777" w:rsidR="00FE4540" w:rsidRDefault="00FE4540">
      <w:pPr>
        <w:pBdr>
          <w:bottom w:val="single" w:sz="4" w:space="1" w:color="C9A24A"/>
        </w:pBdr>
        <w:spacing w:before="100" w:after="100"/>
      </w:pPr>
    </w:p>
    <w:p w14:paraId="1C40BBE2" w14:textId="77777777" w:rsidR="00FE4540" w:rsidRDefault="007E113E">
      <w:pPr>
        <w:spacing w:after="160" w:line="300" w:lineRule="auto"/>
      </w:pPr>
      <w:r>
        <w:rPr>
          <w:color w:val="1F1F1F"/>
        </w:rPr>
        <w:t>Two concurrent regulatory developments make the certification question more urgent than it was even twelve months ago.</w:t>
      </w:r>
    </w:p>
    <w:p w14:paraId="7A749674" w14:textId="77777777" w:rsidR="00FE4540" w:rsidRDefault="007E113E">
      <w:pPr>
        <w:keepNext/>
        <w:keepLines/>
        <w:spacing w:before="220" w:after="100"/>
      </w:pPr>
      <w:r>
        <w:rPr>
          <w:b/>
          <w:bCs/>
          <w:color w:val="1F8A8A"/>
          <w:sz w:val="24"/>
          <w:szCs w:val="24"/>
        </w:rPr>
        <w:t>Federal: The HIPAA Security Rule overhaul (effective May 2026)</w:t>
      </w:r>
    </w:p>
    <w:p w14:paraId="65BCD9AC" w14:textId="77777777" w:rsidR="00FE4540" w:rsidRDefault="007E113E">
      <w:pPr>
        <w:spacing w:after="160" w:line="300" w:lineRule="auto"/>
      </w:pPr>
      <w:r>
        <w:rPr>
          <w:color w:val="1F1F1F"/>
        </w:rPr>
        <w:t>The Department of Health and Human Services finalized the most substantial revision to the HIPAA Security Rule since its original 2003 publication. The new requirements include:</w:t>
      </w:r>
    </w:p>
    <w:p w14:paraId="18F78D4E" w14:textId="77777777" w:rsidR="00FE4540" w:rsidRDefault="007E113E">
      <w:pPr>
        <w:pStyle w:val="ListParagraph"/>
        <w:numPr>
          <w:ilvl w:val="0"/>
          <w:numId w:val="2"/>
        </w:numPr>
        <w:spacing w:after="120" w:line="300" w:lineRule="auto"/>
      </w:pPr>
      <w:r>
        <w:rPr>
          <w:b/>
          <w:bCs/>
          <w:color w:val="0E2A47"/>
        </w:rPr>
        <w:lastRenderedPageBreak/>
        <w:t xml:space="preserve">Mandatory multi-factor authentication </w:t>
      </w:r>
      <w:r>
        <w:rPr>
          <w:color w:val="1F1F1F"/>
        </w:rPr>
        <w:t>across all systems with access to electronic PHI</w:t>
      </w:r>
    </w:p>
    <w:p w14:paraId="6BF49970" w14:textId="77777777" w:rsidR="00FE4540" w:rsidRDefault="007E113E">
      <w:pPr>
        <w:pStyle w:val="ListParagraph"/>
        <w:numPr>
          <w:ilvl w:val="0"/>
          <w:numId w:val="2"/>
        </w:numPr>
        <w:spacing w:after="120" w:line="300" w:lineRule="auto"/>
      </w:pPr>
      <w:r>
        <w:rPr>
          <w:b/>
          <w:bCs/>
          <w:color w:val="0E2A47"/>
        </w:rPr>
        <w:t xml:space="preserve">Universal encryption </w:t>
      </w:r>
      <w:r>
        <w:rPr>
          <w:color w:val="1F1F1F"/>
        </w:rPr>
        <w:t>of PHI at rest and in transit, with limited exceptions</w:t>
      </w:r>
    </w:p>
    <w:p w14:paraId="21AF4F0E" w14:textId="77777777" w:rsidR="00FE4540" w:rsidRDefault="007E113E">
      <w:pPr>
        <w:pStyle w:val="ListParagraph"/>
        <w:numPr>
          <w:ilvl w:val="0"/>
          <w:numId w:val="2"/>
        </w:numPr>
        <w:spacing w:after="120" w:line="300" w:lineRule="auto"/>
      </w:pPr>
      <w:r>
        <w:rPr>
          <w:b/>
          <w:bCs/>
          <w:color w:val="0E2A47"/>
        </w:rPr>
        <w:t xml:space="preserve">24-hour breach reporting </w:t>
      </w:r>
      <w:r>
        <w:rPr>
          <w:color w:val="1F1F1F"/>
        </w:rPr>
        <w:t>for certain categories of incidents, replacing the prior 60-day standard</w:t>
      </w:r>
    </w:p>
    <w:p w14:paraId="5D789F2E" w14:textId="77777777" w:rsidR="00FE4540" w:rsidRDefault="007E113E">
      <w:pPr>
        <w:pStyle w:val="ListParagraph"/>
        <w:numPr>
          <w:ilvl w:val="0"/>
          <w:numId w:val="2"/>
        </w:numPr>
        <w:spacing w:after="120" w:line="300" w:lineRule="auto"/>
      </w:pPr>
      <w:r>
        <w:rPr>
          <w:b/>
          <w:bCs/>
          <w:color w:val="0E2A47"/>
        </w:rPr>
        <w:t xml:space="preserve">Annual penetration testing </w:t>
      </w:r>
      <w:r>
        <w:rPr>
          <w:color w:val="1F1F1F"/>
        </w:rPr>
        <w:t>and biannual vulnerability scanning</w:t>
      </w:r>
    </w:p>
    <w:p w14:paraId="777F9268" w14:textId="77777777" w:rsidR="00FE4540" w:rsidRDefault="007E113E">
      <w:pPr>
        <w:pStyle w:val="ListParagraph"/>
        <w:numPr>
          <w:ilvl w:val="0"/>
          <w:numId w:val="2"/>
        </w:numPr>
        <w:spacing w:after="120" w:line="300" w:lineRule="auto"/>
      </w:pPr>
      <w:r>
        <w:rPr>
          <w:b/>
          <w:bCs/>
          <w:color w:val="0E2A47"/>
        </w:rPr>
        <w:t xml:space="preserve">Formal contingency planning and tested incident response </w:t>
      </w:r>
      <w:r>
        <w:rPr>
          <w:color w:val="1F1F1F"/>
        </w:rPr>
        <w:t>with documented evidence of execution</w:t>
      </w:r>
    </w:p>
    <w:p w14:paraId="742092CB" w14:textId="77777777" w:rsidR="00FE4540" w:rsidRDefault="007E113E">
      <w:pPr>
        <w:spacing w:after="160" w:line="300" w:lineRule="auto"/>
      </w:pPr>
      <w:r>
        <w:rPr>
          <w:color w:val="1F1F1F"/>
        </w:rPr>
        <w:t>HITRUST CSF v11.7 already maps to these mandates. Organizations in an active r2 program will satisfy a substantial portion of the new requirements by default at the time the rule takes effect. Vendors who have coasted on self-attested HIPAA compliance will not.</w:t>
      </w:r>
    </w:p>
    <w:p w14:paraId="20AC6F0F" w14:textId="77777777" w:rsidR="00FE4540" w:rsidRDefault="007E113E">
      <w:pPr>
        <w:keepNext/>
        <w:keepLines/>
        <w:spacing w:before="220" w:after="100"/>
      </w:pPr>
      <w:r>
        <w:rPr>
          <w:b/>
          <w:bCs/>
          <w:color w:val="1F8A8A"/>
          <w:sz w:val="24"/>
          <w:szCs w:val="24"/>
        </w:rPr>
        <w:t>State: A patchwork of mandates that increasingly name HITRUST</w:t>
      </w:r>
    </w:p>
    <w:p w14:paraId="122D48ED" w14:textId="77777777" w:rsidR="00FE4540" w:rsidRDefault="007E113E">
      <w:pPr>
        <w:spacing w:after="160" w:line="300" w:lineRule="auto"/>
      </w:pPr>
      <w:r>
        <w:rPr>
          <w:color w:val="1F1F1F"/>
        </w:rPr>
        <w:t>Several states have moved beyond general HIPAA references and now cite HITRUST specifically as a preferred or required framework:</w:t>
      </w:r>
    </w:p>
    <w:p w14:paraId="6E536198" w14:textId="77777777" w:rsidR="00FE4540" w:rsidRDefault="007E113E">
      <w:pPr>
        <w:pStyle w:val="ListParagraph"/>
        <w:numPr>
          <w:ilvl w:val="0"/>
          <w:numId w:val="2"/>
        </w:numPr>
        <w:spacing w:after="120" w:line="300" w:lineRule="auto"/>
      </w:pPr>
      <w:r>
        <w:rPr>
          <w:b/>
          <w:bCs/>
          <w:color w:val="0E2A47"/>
        </w:rPr>
        <w:t xml:space="preserve">Texas </w:t>
      </w:r>
      <w:proofErr w:type="spellStart"/>
      <w:r>
        <w:rPr>
          <w:b/>
          <w:bCs/>
          <w:color w:val="0E2A47"/>
        </w:rPr>
        <w:t>SECURETexas</w:t>
      </w:r>
      <w:proofErr w:type="spellEnd"/>
      <w:r>
        <w:rPr>
          <w:b/>
          <w:bCs/>
          <w:color w:val="0E2A47"/>
        </w:rPr>
        <w:t xml:space="preserve"> </w:t>
      </w:r>
      <w:r>
        <w:rPr>
          <w:color w:val="1F1F1F"/>
        </w:rPr>
        <w:t>uses HITRUST as the statutory foundation, with explicit liability mitigation provisions for certified organizations.</w:t>
      </w:r>
    </w:p>
    <w:p w14:paraId="0FD3F896" w14:textId="77777777" w:rsidR="00FE4540" w:rsidRDefault="007E113E">
      <w:pPr>
        <w:pStyle w:val="ListParagraph"/>
        <w:numPr>
          <w:ilvl w:val="0"/>
          <w:numId w:val="2"/>
        </w:numPr>
        <w:spacing w:after="120" w:line="300" w:lineRule="auto"/>
      </w:pPr>
      <w:r>
        <w:rPr>
          <w:b/>
          <w:bCs/>
          <w:color w:val="0E2A47"/>
        </w:rPr>
        <w:t xml:space="preserve">New York's SHIN-NY </w:t>
      </w:r>
      <w:r>
        <w:rPr>
          <w:color w:val="1F1F1F"/>
        </w:rPr>
        <w:t>mandates HITRUST certification for all Qualified Entities participating in the state health information network.</w:t>
      </w:r>
    </w:p>
    <w:p w14:paraId="51F4496A" w14:textId="77777777" w:rsidR="00FE4540" w:rsidRDefault="007E113E">
      <w:pPr>
        <w:pStyle w:val="ListParagraph"/>
        <w:numPr>
          <w:ilvl w:val="0"/>
          <w:numId w:val="2"/>
        </w:numPr>
        <w:spacing w:after="120" w:line="300" w:lineRule="auto"/>
      </w:pPr>
      <w:r>
        <w:rPr>
          <w:b/>
          <w:bCs/>
          <w:color w:val="0E2A47"/>
        </w:rPr>
        <w:t xml:space="preserve">NYDFS </w:t>
      </w:r>
      <w:r>
        <w:rPr>
          <w:color w:val="1F1F1F"/>
        </w:rPr>
        <w:t>issued an October 2025 industry letter citing HITRUST as the preferred standard under 23 NYCRR Part 500 cybersecurity requirements.</w:t>
      </w:r>
    </w:p>
    <w:p w14:paraId="23B146D2" w14:textId="77777777" w:rsidR="00FE4540" w:rsidRDefault="007E113E">
      <w:pPr>
        <w:keepNext/>
        <w:keepLines/>
        <w:spacing w:before="220" w:after="100"/>
      </w:pPr>
      <w:r>
        <w:rPr>
          <w:b/>
          <w:bCs/>
          <w:color w:val="1F8A8A"/>
          <w:sz w:val="24"/>
          <w:szCs w:val="24"/>
        </w:rPr>
        <w:t>Procurement: HITRUST is moving from preferred to required</w:t>
      </w:r>
    </w:p>
    <w:p w14:paraId="62F69B90" w14:textId="77777777" w:rsidR="00FE4540" w:rsidRDefault="007E113E">
      <w:pPr>
        <w:spacing w:after="160" w:line="300" w:lineRule="auto"/>
      </w:pPr>
      <w:r>
        <w:rPr>
          <w:color w:val="1F1F1F"/>
        </w:rPr>
        <w:t>Enterprise payers, hospital systems, and government programs are systematically requiring HITRUST from their downstream vendors as a contract prerequisite rather than a procurement preference. This trickles down: a regional physician group serving a major payer network will increasingly find that its own vendor portfolio must meet the same standard the payer applies to it directly. If an answering service is not on a credible certification path today, it is unlikely to remain a viable partner for healthcare</w:t>
      </w:r>
      <w:r>
        <w:rPr>
          <w:color w:val="1F1F1F"/>
        </w:rPr>
        <w:t xml:space="preserve"> organizations operating within enterprise contracts a year from now.</w:t>
      </w:r>
    </w:p>
    <w:p w14:paraId="29BAC2C6" w14:textId="77777777" w:rsidR="00FE4540" w:rsidRDefault="007E113E">
      <w:pPr>
        <w:keepNext/>
        <w:keepLines/>
        <w:spacing w:before="400" w:after="80"/>
      </w:pPr>
      <w:r>
        <w:rPr>
          <w:b/>
          <w:bCs/>
          <w:color w:val="C9A24A"/>
          <w:sz w:val="18"/>
          <w:szCs w:val="18"/>
        </w:rPr>
        <w:t>SECTION 6</w:t>
      </w:r>
    </w:p>
    <w:p w14:paraId="7CCEE923" w14:textId="77777777" w:rsidR="00FE4540" w:rsidRDefault="007E113E">
      <w:pPr>
        <w:pStyle w:val="Heading1"/>
        <w:keepNext/>
        <w:keepLines/>
      </w:pPr>
      <w:r>
        <w:t>A Practical Framework for Evaluating Your Answering Service</w:t>
      </w:r>
    </w:p>
    <w:p w14:paraId="28D2E14C" w14:textId="77777777" w:rsidR="00FE4540" w:rsidRDefault="00FE4540">
      <w:pPr>
        <w:pBdr>
          <w:bottom w:val="single" w:sz="4" w:space="1" w:color="C9A24A"/>
        </w:pBdr>
        <w:spacing w:before="100" w:after="100"/>
      </w:pPr>
    </w:p>
    <w:p w14:paraId="3D19E492" w14:textId="77777777" w:rsidR="00FE4540" w:rsidRDefault="007E113E">
      <w:pPr>
        <w:spacing w:after="160" w:line="300" w:lineRule="auto"/>
      </w:pPr>
      <w:r>
        <w:rPr>
          <w:color w:val="1F1F1F"/>
        </w:rPr>
        <w:t xml:space="preserve">Procurement teams, compliance officers, and practice administrators evaluating a medical answering service should require documentary evidence — not marketing language — across the following seven areas. Each question is one that a legitimately certified vendor can answer immediately, with supporting </w:t>
      </w:r>
      <w:r>
        <w:rPr>
          <w:color w:val="1F1F1F"/>
        </w:rPr>
        <w:lastRenderedPageBreak/>
        <w:t>documentation in hand. Each is one that a non-certified vendor will struggle with, deflect, or attempt to reframe.</w:t>
      </w:r>
    </w:p>
    <w:p w14:paraId="25628537" w14:textId="77777777" w:rsidR="00FE4540" w:rsidRDefault="007E113E">
      <w:pPr>
        <w:spacing w:after="160" w:line="300" w:lineRule="auto"/>
      </w:pPr>
      <w:r>
        <w:rPr>
          <w:color w:val="1F1F1F"/>
        </w:rPr>
        <w:t>The questions below are sequenced from foundational to operational. A vendor that fails the first three should not advance in your evaluation. A vendor that passes all seven is operating at the standard healthcare procurement is consolidating around for 2026 and beyond.</w:t>
      </w:r>
    </w:p>
    <w:p w14:paraId="4F9D5018" w14:textId="77777777" w:rsidR="00FE4540" w:rsidRDefault="007E113E">
      <w:pPr>
        <w:keepNext/>
        <w:keepLines/>
        <w:spacing w:before="220" w:after="100"/>
      </w:pPr>
      <w:r>
        <w:rPr>
          <w:b/>
          <w:bCs/>
          <w:color w:val="1F8A8A"/>
          <w:sz w:val="24"/>
          <w:szCs w:val="24"/>
        </w:rPr>
        <w:t>1. Current HITRUST certification status</w:t>
      </w:r>
    </w:p>
    <w:p w14:paraId="61167CA3" w14:textId="77777777" w:rsidR="00FE4540" w:rsidRDefault="007E113E">
      <w:pPr>
        <w:spacing w:after="160" w:line="300" w:lineRule="auto"/>
      </w:pPr>
      <w:r>
        <w:rPr>
          <w:color w:val="1F1F1F"/>
        </w:rPr>
        <w:t>Which tier holds the certification — e1, i1, or r2? What is the certification date? When is the next interim assessment or recertification scheduled? r2 is the highest tier and the appropriate standard for any vendor handling PHI at scale.</w:t>
      </w:r>
    </w:p>
    <w:p w14:paraId="36B863D7" w14:textId="77777777" w:rsidR="00FE4540" w:rsidRDefault="007E113E">
      <w:pPr>
        <w:spacing w:after="160" w:line="300" w:lineRule="auto"/>
      </w:pPr>
      <w:r>
        <w:rPr>
          <w:b/>
          <w:bCs/>
          <w:color w:val="C9A24A"/>
          <w:sz w:val="20"/>
          <w:szCs w:val="20"/>
        </w:rPr>
        <w:t xml:space="preserve">Red flags: </w:t>
      </w:r>
      <w:r>
        <w:rPr>
          <w:i/>
          <w:iCs/>
          <w:color w:val="555555"/>
          <w:sz w:val="20"/>
          <w:szCs w:val="20"/>
        </w:rPr>
        <w:t>"We're working toward it." "We meet the same standards but haven't certified." "We're HIPAA compliant, which is essentially the same thing." None of these are equivalent to a current third-party validated certification.</w:t>
      </w:r>
    </w:p>
    <w:p w14:paraId="5ADAF4CA" w14:textId="77777777" w:rsidR="00FE4540" w:rsidRDefault="007E113E">
      <w:pPr>
        <w:keepNext/>
        <w:keepLines/>
        <w:spacing w:before="220" w:after="100"/>
      </w:pPr>
      <w:r>
        <w:rPr>
          <w:b/>
          <w:bCs/>
          <w:color w:val="1F8A8A"/>
          <w:sz w:val="24"/>
          <w:szCs w:val="24"/>
        </w:rPr>
        <w:t>2. Scope of the certification</w:t>
      </w:r>
    </w:p>
    <w:p w14:paraId="1CEDC061" w14:textId="77777777" w:rsidR="00FE4540" w:rsidRDefault="007E113E">
      <w:pPr>
        <w:spacing w:after="160" w:line="300" w:lineRule="auto"/>
      </w:pPr>
      <w:r>
        <w:rPr>
          <w:color w:val="1F1F1F"/>
        </w:rPr>
        <w:t xml:space="preserve">Some vendors certify a narrow slice of their environment and represent the certification as covering the entire business. Confirm that the operations </w:t>
      </w:r>
      <w:proofErr w:type="gramStart"/>
      <w:r>
        <w:rPr>
          <w:color w:val="1F1F1F"/>
        </w:rPr>
        <w:t>actually handling</w:t>
      </w:r>
      <w:proofErr w:type="gramEnd"/>
      <w:r>
        <w:rPr>
          <w:color w:val="1F1F1F"/>
        </w:rPr>
        <w:t xml:space="preserve"> client PHI — call answering, message delivery, recording storage, escalation routing, AI workflows — are explicitly within the certified scope.</w:t>
      </w:r>
    </w:p>
    <w:p w14:paraId="67F9F84B" w14:textId="77777777" w:rsidR="00FE4540" w:rsidRDefault="007E113E">
      <w:pPr>
        <w:spacing w:after="160" w:line="300" w:lineRule="auto"/>
      </w:pPr>
      <w:r>
        <w:rPr>
          <w:b/>
          <w:bCs/>
          <w:color w:val="1F8A8A"/>
          <w:sz w:val="20"/>
          <w:szCs w:val="20"/>
        </w:rPr>
        <w:t xml:space="preserve">Ask for: </w:t>
      </w:r>
      <w:r>
        <w:rPr>
          <w:i/>
          <w:iCs/>
          <w:color w:val="555555"/>
          <w:sz w:val="20"/>
          <w:szCs w:val="20"/>
        </w:rPr>
        <w:t>the certification letter, the scope statement, and a written confirmation that the services you are purchasing fall within the certified perimeter.</w:t>
      </w:r>
    </w:p>
    <w:p w14:paraId="7BB731C7" w14:textId="77777777" w:rsidR="00FE4540" w:rsidRDefault="007E113E">
      <w:pPr>
        <w:keepNext/>
        <w:keepLines/>
        <w:spacing w:before="220" w:after="100"/>
      </w:pPr>
      <w:r>
        <w:rPr>
          <w:b/>
          <w:bCs/>
          <w:color w:val="1F8A8A"/>
          <w:sz w:val="24"/>
          <w:szCs w:val="24"/>
        </w:rPr>
        <w:t>3. Workforce model and screening</w:t>
      </w:r>
    </w:p>
    <w:p w14:paraId="3DFDAC02" w14:textId="77777777" w:rsidR="00FE4540" w:rsidRDefault="007E113E">
      <w:pPr>
        <w:spacing w:after="160" w:line="300" w:lineRule="auto"/>
      </w:pPr>
      <w:r>
        <w:rPr>
          <w:color w:val="1F1F1F"/>
        </w:rPr>
        <w:t>Are agents employees or contractors? Are they W-2 or 1099? Where are they physically located? What is the background check process? Outsourced and offshored agents who have not been HIPAA-trained, background-checked, and access-controlled are the single most common failure mode in answering service breaches.</w:t>
      </w:r>
    </w:p>
    <w:p w14:paraId="47BCA75C" w14:textId="77777777" w:rsidR="00FE4540" w:rsidRDefault="007E113E">
      <w:pPr>
        <w:spacing w:after="160" w:line="300" w:lineRule="auto"/>
      </w:pPr>
      <w:r>
        <w:rPr>
          <w:b/>
          <w:bCs/>
          <w:color w:val="C9A24A"/>
          <w:sz w:val="20"/>
          <w:szCs w:val="20"/>
        </w:rPr>
        <w:t xml:space="preserve">Red flags: </w:t>
      </w:r>
      <w:r>
        <w:rPr>
          <w:i/>
          <w:iCs/>
          <w:color w:val="555555"/>
          <w:sz w:val="20"/>
          <w:szCs w:val="20"/>
        </w:rPr>
        <w:t>agents working from unmanaged personal devices, offshore contractors without documented BAAs, or workforce locations the vendor cannot or will not disclose.</w:t>
      </w:r>
    </w:p>
    <w:p w14:paraId="2B6D5E13" w14:textId="77777777" w:rsidR="00FE4540" w:rsidRDefault="007E113E">
      <w:pPr>
        <w:keepNext/>
        <w:keepLines/>
        <w:spacing w:before="220" w:after="100"/>
      </w:pPr>
      <w:r>
        <w:rPr>
          <w:b/>
          <w:bCs/>
          <w:color w:val="1F8A8A"/>
          <w:sz w:val="24"/>
          <w:szCs w:val="24"/>
        </w:rPr>
        <w:t>4. Subcontractor and overflow management</w:t>
      </w:r>
    </w:p>
    <w:p w14:paraId="1DBEB6BA" w14:textId="77777777" w:rsidR="00FE4540" w:rsidRDefault="007E113E">
      <w:pPr>
        <w:spacing w:after="160" w:line="300" w:lineRule="auto"/>
      </w:pPr>
      <w:r>
        <w:rPr>
          <w:color w:val="1F1F1F"/>
        </w:rPr>
        <w:t xml:space="preserve">Where are calls answered during peak load or after hours? Is overflow routed to subcontracted call centers, and if so, what is their certification status? Each subcontractor handling PHI </w:t>
      </w:r>
      <w:proofErr w:type="gramStart"/>
      <w:r>
        <w:rPr>
          <w:color w:val="1F1F1F"/>
        </w:rPr>
        <w:t>is</w:t>
      </w:r>
      <w:proofErr w:type="gramEnd"/>
      <w:r>
        <w:rPr>
          <w:color w:val="1F1F1F"/>
        </w:rPr>
        <w:t xml:space="preserve"> its own risk surface, and a vendor's HITRUST scope does not automatically extend to its subcontractors.</w:t>
      </w:r>
    </w:p>
    <w:p w14:paraId="3874BD69" w14:textId="77777777" w:rsidR="00FE4540" w:rsidRDefault="007E113E">
      <w:pPr>
        <w:spacing w:after="160" w:line="300" w:lineRule="auto"/>
      </w:pPr>
      <w:r>
        <w:rPr>
          <w:b/>
          <w:bCs/>
          <w:color w:val="1F8A8A"/>
          <w:sz w:val="20"/>
          <w:szCs w:val="20"/>
        </w:rPr>
        <w:t xml:space="preserve">Ask for: </w:t>
      </w:r>
      <w:r>
        <w:rPr>
          <w:i/>
          <w:iCs/>
          <w:color w:val="555555"/>
          <w:sz w:val="20"/>
          <w:szCs w:val="20"/>
        </w:rPr>
        <w:t>a complete list of subcontractors with PHI access, copies of their BAAs, and their respective certification status. "We don't use any" is an acceptable answer; "we'll get back to you" is not.</w:t>
      </w:r>
    </w:p>
    <w:p w14:paraId="719335B1" w14:textId="77777777" w:rsidR="00FE4540" w:rsidRDefault="007E113E">
      <w:pPr>
        <w:keepNext/>
        <w:keepLines/>
        <w:spacing w:before="220" w:after="100"/>
      </w:pPr>
      <w:r>
        <w:rPr>
          <w:b/>
          <w:bCs/>
          <w:color w:val="1F8A8A"/>
          <w:sz w:val="24"/>
          <w:szCs w:val="24"/>
        </w:rPr>
        <w:lastRenderedPageBreak/>
        <w:t>5. Incident response and breach notification procedures</w:t>
      </w:r>
    </w:p>
    <w:p w14:paraId="377FAB42" w14:textId="77777777" w:rsidR="00FE4540" w:rsidRDefault="007E113E">
      <w:pPr>
        <w:spacing w:after="160" w:line="300" w:lineRule="auto"/>
      </w:pPr>
      <w:r>
        <w:rPr>
          <w:color w:val="1F1F1F"/>
        </w:rPr>
        <w:t>Ask to see the actual incident response playbook. Confirm the vendor's notification timelines align with the new 24-hour standard under the May 2026 HIPAA Security Rule overhaul. A vendor unable to produce a written, dated playbook on request is a vendor who will be improvising on the day of an incident.</w:t>
      </w:r>
    </w:p>
    <w:p w14:paraId="37D9C271" w14:textId="77777777" w:rsidR="00FE4540" w:rsidRDefault="007E113E">
      <w:pPr>
        <w:spacing w:after="160" w:line="300" w:lineRule="auto"/>
      </w:pPr>
      <w:r>
        <w:rPr>
          <w:b/>
          <w:bCs/>
          <w:color w:val="C9A24A"/>
          <w:sz w:val="20"/>
          <w:szCs w:val="20"/>
        </w:rPr>
        <w:t xml:space="preserve">Red flags: </w:t>
      </w:r>
      <w:r>
        <w:rPr>
          <w:i/>
          <w:iCs/>
          <w:color w:val="555555"/>
          <w:sz w:val="20"/>
          <w:szCs w:val="20"/>
        </w:rPr>
        <w:t>informal verbal procedures, no named incident response lead, no recent tabletop exercise documentation, or notification timelines still anchored to the prior 60-day standard.</w:t>
      </w:r>
    </w:p>
    <w:p w14:paraId="38053D1F" w14:textId="77777777" w:rsidR="00FE4540" w:rsidRDefault="007E113E">
      <w:pPr>
        <w:keepNext/>
        <w:keepLines/>
        <w:spacing w:before="220" w:after="100"/>
      </w:pPr>
      <w:r>
        <w:rPr>
          <w:b/>
          <w:bCs/>
          <w:color w:val="1F8A8A"/>
          <w:sz w:val="24"/>
          <w:szCs w:val="24"/>
        </w:rPr>
        <w:t>6. Data residency and retention</w:t>
      </w:r>
    </w:p>
    <w:p w14:paraId="3C06A075" w14:textId="77777777" w:rsidR="00FE4540" w:rsidRDefault="007E113E">
      <w:pPr>
        <w:spacing w:after="160" w:line="300" w:lineRule="auto"/>
      </w:pPr>
      <w:r>
        <w:rPr>
          <w:color w:val="1F1F1F"/>
        </w:rPr>
        <w:t xml:space="preserve">Where </w:t>
      </w:r>
      <w:proofErr w:type="gramStart"/>
      <w:r>
        <w:rPr>
          <w:color w:val="1F1F1F"/>
        </w:rPr>
        <w:t>is</w:t>
      </w:r>
      <w:proofErr w:type="gramEnd"/>
      <w:r>
        <w:rPr>
          <w:color w:val="1F1F1F"/>
        </w:rPr>
        <w:t xml:space="preserve"> PHI stored — call recordings, message logs, agent-entered notes? What is the retention period and the regulatory basis for it? Who has access? How is data securely destroyed at end of retention? Vague answers here are an indicator that the question has not previously been asked in earnest by another buyer.</w:t>
      </w:r>
    </w:p>
    <w:p w14:paraId="65468C4E" w14:textId="77777777" w:rsidR="00FE4540" w:rsidRDefault="007E113E">
      <w:pPr>
        <w:spacing w:after="160" w:line="300" w:lineRule="auto"/>
      </w:pPr>
      <w:r>
        <w:rPr>
          <w:b/>
          <w:bCs/>
          <w:color w:val="1F8A8A"/>
          <w:sz w:val="20"/>
          <w:szCs w:val="20"/>
        </w:rPr>
        <w:t xml:space="preserve">Ask for: </w:t>
      </w:r>
      <w:r>
        <w:rPr>
          <w:i/>
          <w:iCs/>
          <w:color w:val="555555"/>
          <w:sz w:val="20"/>
          <w:szCs w:val="20"/>
        </w:rPr>
        <w:t>a written data flow diagram, a retention schedule by data type, and the encryption standards applied at rest and in transit.</w:t>
      </w:r>
    </w:p>
    <w:p w14:paraId="5E818A70" w14:textId="77777777" w:rsidR="00FE4540" w:rsidRDefault="007E113E">
      <w:pPr>
        <w:keepNext/>
        <w:keepLines/>
        <w:spacing w:before="220" w:after="100"/>
      </w:pPr>
      <w:r>
        <w:rPr>
          <w:b/>
          <w:bCs/>
          <w:color w:val="1F8A8A"/>
          <w:sz w:val="24"/>
          <w:szCs w:val="24"/>
        </w:rPr>
        <w:t>7. Bilingual and clinical capability</w:t>
      </w:r>
    </w:p>
    <w:p w14:paraId="2AA8DF6D" w14:textId="77777777" w:rsidR="00FE4540" w:rsidRDefault="007E113E">
      <w:pPr>
        <w:spacing w:after="160" w:line="300" w:lineRule="auto"/>
      </w:pPr>
      <w:r>
        <w:rPr>
          <w:color w:val="1F1F1F"/>
        </w:rPr>
        <w:t xml:space="preserve">Many breaches occur when a vendor cannot handle a call appropriately and improvises — routing a Spanish-speaking caller through a translation service that is not under </w:t>
      </w:r>
      <w:proofErr w:type="gramStart"/>
      <w:r>
        <w:rPr>
          <w:color w:val="1F1F1F"/>
        </w:rPr>
        <w:t>BAA, or</w:t>
      </w:r>
      <w:proofErr w:type="gramEnd"/>
      <w:r>
        <w:rPr>
          <w:color w:val="1F1F1F"/>
        </w:rPr>
        <w:t xml:space="preserve"> pressing an untrained agent into clinical triage. Confirm that bilingual coverage is delivered in-house by trained agents and that any clinical workflows are handled by licensed staff with documented credentialing.</w:t>
      </w:r>
    </w:p>
    <w:p w14:paraId="2B90324A" w14:textId="77777777" w:rsidR="00FE4540" w:rsidRDefault="007E113E">
      <w:pPr>
        <w:spacing w:after="160" w:line="300" w:lineRule="auto"/>
      </w:pPr>
      <w:r>
        <w:rPr>
          <w:b/>
          <w:bCs/>
          <w:color w:val="C9A24A"/>
          <w:sz w:val="20"/>
          <w:szCs w:val="20"/>
        </w:rPr>
        <w:t xml:space="preserve">Red flags: </w:t>
      </w:r>
      <w:r>
        <w:rPr>
          <w:i/>
          <w:iCs/>
          <w:color w:val="555555"/>
          <w:sz w:val="20"/>
          <w:szCs w:val="20"/>
        </w:rPr>
        <w:t>third-party translation lines without BAA coverage, generalist agents performing symptom triage, or any workflow that routes PHI outside the certified environment to accommodate a language or clinical need.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E4540" w14:paraId="231D1762" w14:textId="77777777">
        <w:tblPrEx>
          <w:tblCellMar>
            <w:top w:w="0" w:type="dxa"/>
            <w:bottom w:w="0" w:type="dxa"/>
          </w:tblCellMar>
        </w:tblPrEx>
        <w:tc>
          <w:tcPr>
            <w:tcW w:w="9360" w:type="dxa"/>
            <w:tcBorders>
              <w:top w:val="single" w:sz="4" w:space="0" w:color="1F8A8A"/>
              <w:left w:val="single" w:sz="24" w:space="0" w:color="1F8A8A"/>
              <w:bottom w:val="single" w:sz="4" w:space="0" w:color="1F8A8A"/>
              <w:right w:val="single" w:sz="4" w:space="0" w:color="1F8A8A"/>
            </w:tcBorders>
            <w:shd w:val="clear" w:color="auto" w:fill="E8ECF1"/>
            <w:tcMar>
              <w:top w:w="240" w:type="dxa"/>
              <w:left w:w="280" w:type="dxa"/>
              <w:bottom w:w="240" w:type="dxa"/>
              <w:right w:w="280" w:type="dxa"/>
            </w:tcMar>
          </w:tcPr>
          <w:p w14:paraId="55E6049E" w14:textId="77777777" w:rsidR="00FE4540" w:rsidRDefault="007E113E">
            <w:pPr>
              <w:spacing w:after="140"/>
            </w:pPr>
            <w:r>
              <w:rPr>
                <w:b/>
                <w:bCs/>
                <w:color w:val="0E2A47"/>
                <w:sz w:val="24"/>
                <w:szCs w:val="24"/>
              </w:rPr>
              <w:t>The procurement decision in one sentence</w:t>
            </w:r>
          </w:p>
          <w:p w14:paraId="744C0307" w14:textId="77777777" w:rsidR="00FE4540" w:rsidRDefault="007E113E">
            <w:pPr>
              <w:spacing w:line="300" w:lineRule="auto"/>
            </w:pPr>
            <w:r>
              <w:rPr>
                <w:color w:val="1F1F1F"/>
              </w:rPr>
              <w:t>If your answering service vendor cannot answer these seven questions with documentary evidence in hand — today, on this call, in writing — you do not have a vendor problem. You have a liability problem that will surface the first time something goes wrong.</w:t>
            </w:r>
          </w:p>
        </w:tc>
      </w:tr>
    </w:tbl>
    <w:p w14:paraId="2E16DD8C" w14:textId="77777777" w:rsidR="00FE4540" w:rsidRDefault="007E113E">
      <w:pPr>
        <w:pBdr>
          <w:left w:val="single" w:sz="24" w:space="16" w:color="1F8A8A"/>
        </w:pBdr>
        <w:spacing w:before="280" w:after="320" w:line="320" w:lineRule="auto"/>
        <w:ind w:left="360" w:right="360"/>
      </w:pPr>
      <w:r>
        <w:rPr>
          <w:i/>
          <w:iCs/>
          <w:color w:val="0E2A47"/>
          <w:sz w:val="26"/>
          <w:szCs w:val="26"/>
        </w:rPr>
        <w:t>"Trust me" is not a procurement standard. "Here is the certification letter, the scope statement, the workforce attestation, and the incident response playbook" is.</w:t>
      </w:r>
    </w:p>
    <w:p w14:paraId="3E3E209F" w14:textId="77777777" w:rsidR="00FE4540" w:rsidRDefault="007E113E">
      <w:pPr>
        <w:keepNext/>
        <w:keepLines/>
        <w:spacing w:before="400" w:after="80"/>
      </w:pPr>
      <w:r>
        <w:rPr>
          <w:b/>
          <w:bCs/>
          <w:color w:val="C9A24A"/>
          <w:sz w:val="18"/>
          <w:szCs w:val="18"/>
        </w:rPr>
        <w:lastRenderedPageBreak/>
        <w:t>SECTION 7</w:t>
      </w:r>
    </w:p>
    <w:p w14:paraId="707648A7" w14:textId="77777777" w:rsidR="00FE4540" w:rsidRDefault="007E113E">
      <w:pPr>
        <w:pStyle w:val="Heading1"/>
        <w:keepNext/>
        <w:keepLines/>
      </w:pPr>
      <w:r>
        <w:t>The TAS United Standard</w:t>
      </w:r>
    </w:p>
    <w:p w14:paraId="04CE2728" w14:textId="77777777" w:rsidR="00FE4540" w:rsidRDefault="00FE4540">
      <w:pPr>
        <w:pBdr>
          <w:bottom w:val="single" w:sz="4" w:space="1" w:color="C9A24A"/>
        </w:pBdr>
        <w:spacing w:before="100" w:after="100"/>
      </w:pPr>
    </w:p>
    <w:p w14:paraId="73C0E000" w14:textId="77777777" w:rsidR="00FE4540" w:rsidRDefault="007E113E">
      <w:pPr>
        <w:spacing w:after="160" w:line="300" w:lineRule="auto"/>
      </w:pPr>
      <w:r>
        <w:rPr>
          <w:color w:val="1F1F1F"/>
        </w:rPr>
        <w:t xml:space="preserve">TAS United was founded in 1984 as a healthcare-exclusive medical answering service. We do not handle calls </w:t>
      </w:r>
      <w:proofErr w:type="gramStart"/>
      <w:r>
        <w:rPr>
          <w:color w:val="1F1F1F"/>
        </w:rPr>
        <w:t>for</w:t>
      </w:r>
      <w:proofErr w:type="gramEnd"/>
      <w:r>
        <w:rPr>
          <w:color w:val="1F1F1F"/>
        </w:rPr>
        <w:t xml:space="preserve"> restaurants, law firms, plumbing companies, or general commercial accounts. Every agent, every workflow, every system, and every policy is built around a single industry — healthcare — and a single regulatory reality: protected health information is a fiduciary obligation, not a contractual line item.</w:t>
      </w:r>
    </w:p>
    <w:p w14:paraId="495E623A" w14:textId="77777777" w:rsidR="00FE4540" w:rsidRDefault="007E113E">
      <w:pPr>
        <w:spacing w:after="160" w:line="300" w:lineRule="auto"/>
      </w:pPr>
      <w:r>
        <w:rPr>
          <w:color w:val="1F1F1F"/>
        </w:rPr>
        <w:t>That focus is the reason we hold HITRUST r2 certification — the most rigorous tier available — across our PHI-handling operations. It is the reason we structure our workforce as W-2 employees, in-house bilingual agents across our Lubbock, Texas and Guaynabo, Puerto Rico operations centers. And it is the reason our AI-Integrated Agent and Nurse on Demand product lines were designed from inception within the HITRUST control framework rather than retrofitted to it afterward.</w:t>
      </w:r>
    </w:p>
    <w:p w14:paraId="44EB1938" w14:textId="77777777" w:rsidR="00FE4540" w:rsidRDefault="007E113E">
      <w:pPr>
        <w:keepNext/>
        <w:keepLines/>
        <w:spacing w:before="220" w:after="100"/>
      </w:pPr>
      <w:r>
        <w:rPr>
          <w:b/>
          <w:bCs/>
          <w:color w:val="1F8A8A"/>
          <w:sz w:val="24"/>
          <w:szCs w:val="24"/>
        </w:rPr>
        <w:t>What HITRUST r2 means for our clients</w:t>
      </w:r>
    </w:p>
    <w:p w14:paraId="0A33647F" w14:textId="77777777" w:rsidR="00FE4540" w:rsidRDefault="007E113E">
      <w:pPr>
        <w:pStyle w:val="ListParagraph"/>
        <w:numPr>
          <w:ilvl w:val="0"/>
          <w:numId w:val="2"/>
        </w:numPr>
        <w:spacing w:after="120" w:line="300" w:lineRule="auto"/>
      </w:pPr>
      <w:r>
        <w:rPr>
          <w:b/>
          <w:bCs/>
          <w:color w:val="0E2A47"/>
        </w:rPr>
        <w:t xml:space="preserve">Independent third-party validation </w:t>
      </w:r>
      <w:r>
        <w:rPr>
          <w:color w:val="1F1F1F"/>
        </w:rPr>
        <w:t>of the controls protecting your patients' PHI — recertified every two years, with interim assessment at twelve months.</w:t>
      </w:r>
    </w:p>
    <w:p w14:paraId="70A305DE" w14:textId="77777777" w:rsidR="00FE4540" w:rsidRDefault="007E113E">
      <w:pPr>
        <w:pStyle w:val="ListParagraph"/>
        <w:numPr>
          <w:ilvl w:val="0"/>
          <w:numId w:val="2"/>
        </w:numPr>
        <w:spacing w:after="120" w:line="300" w:lineRule="auto"/>
      </w:pPr>
      <w:r>
        <w:rPr>
          <w:b/>
          <w:bCs/>
          <w:color w:val="0E2A47"/>
        </w:rPr>
        <w:t xml:space="preserve">Pre-mapped compliance </w:t>
      </w:r>
      <w:r>
        <w:rPr>
          <w:color w:val="1F1F1F"/>
        </w:rPr>
        <w:t xml:space="preserve">with the May 2026 HIPAA Security Rule overhaul, NIST 800-53, ISO 27001, SOC 2, and state-level requirements including </w:t>
      </w:r>
      <w:proofErr w:type="spellStart"/>
      <w:r>
        <w:rPr>
          <w:color w:val="1F1F1F"/>
        </w:rPr>
        <w:t>SECURETexas</w:t>
      </w:r>
      <w:proofErr w:type="spellEnd"/>
      <w:r>
        <w:rPr>
          <w:color w:val="1F1F1F"/>
        </w:rPr>
        <w:t>.</w:t>
      </w:r>
    </w:p>
    <w:p w14:paraId="39251C85" w14:textId="77777777" w:rsidR="00FE4540" w:rsidRDefault="007E113E">
      <w:pPr>
        <w:pStyle w:val="ListParagraph"/>
        <w:numPr>
          <w:ilvl w:val="0"/>
          <w:numId w:val="2"/>
        </w:numPr>
        <w:spacing w:after="120" w:line="300" w:lineRule="auto"/>
      </w:pPr>
      <w:r>
        <w:rPr>
          <w:b/>
          <w:bCs/>
          <w:color w:val="0E2A47"/>
        </w:rPr>
        <w:t xml:space="preserve">Streamlined vendor risk assessment </w:t>
      </w:r>
      <w:r>
        <w:rPr>
          <w:color w:val="1F1F1F"/>
        </w:rPr>
        <w:t>for your procurement, compliance, and legal teams — one certification replaces dozens of redundant audits and questionnaires.</w:t>
      </w:r>
    </w:p>
    <w:p w14:paraId="5FC3F25B" w14:textId="77777777" w:rsidR="00FE4540" w:rsidRDefault="007E113E">
      <w:pPr>
        <w:pStyle w:val="ListParagraph"/>
        <w:numPr>
          <w:ilvl w:val="0"/>
          <w:numId w:val="2"/>
        </w:numPr>
        <w:spacing w:after="120" w:line="300" w:lineRule="auto"/>
      </w:pPr>
      <w:r>
        <w:rPr>
          <w:b/>
          <w:bCs/>
          <w:color w:val="0E2A47"/>
        </w:rPr>
        <w:t xml:space="preserve">Reduced residual risk </w:t>
      </w:r>
      <w:r>
        <w:rPr>
          <w:color w:val="1F1F1F"/>
        </w:rPr>
        <w:t>in your business associate portfolio, with documentary evidence to satisfy OCR diligence expectations.</w:t>
      </w:r>
    </w:p>
    <w:p w14:paraId="7B35774E" w14:textId="77777777" w:rsidR="00FE4540" w:rsidRDefault="007E113E">
      <w:pPr>
        <w:pStyle w:val="ListParagraph"/>
        <w:numPr>
          <w:ilvl w:val="0"/>
          <w:numId w:val="2"/>
        </w:numPr>
        <w:spacing w:after="120" w:line="300" w:lineRule="auto"/>
      </w:pPr>
      <w:r>
        <w:rPr>
          <w:b/>
          <w:bCs/>
          <w:color w:val="0E2A47"/>
        </w:rPr>
        <w:t xml:space="preserve">Cyber insurance support, </w:t>
      </w:r>
      <w:r>
        <w:rPr>
          <w:color w:val="1F1F1F"/>
        </w:rPr>
        <w:t>with attestation letters and certification documentation provided directly to your underwriters on request.</w:t>
      </w:r>
    </w:p>
    <w:p w14:paraId="4D2EDAE7" w14:textId="77777777" w:rsidR="00FE4540" w:rsidRDefault="007E113E">
      <w:pPr>
        <w:keepNext/>
        <w:keepLines/>
        <w:spacing w:before="220" w:after="100"/>
      </w:pPr>
      <w:r>
        <w:rPr>
          <w:b/>
          <w:bCs/>
          <w:color w:val="1F8A8A"/>
          <w:sz w:val="24"/>
          <w:szCs w:val="24"/>
        </w:rPr>
        <w:t>Beyond the certificate</w:t>
      </w:r>
    </w:p>
    <w:p w14:paraId="1990BB98" w14:textId="77777777" w:rsidR="00FE4540" w:rsidRDefault="007E113E">
      <w:pPr>
        <w:spacing w:after="160" w:line="300" w:lineRule="auto"/>
      </w:pPr>
      <w:r>
        <w:rPr>
          <w:color w:val="1F1F1F"/>
        </w:rPr>
        <w:t xml:space="preserve">HITRUST r2 is the floor of our operational standard, not the ceiling. TAS United maintains in-house bilingual agents (English and Spanish), 100% U.S.- and Puerto Rico–based operations, an AI-Integrated Agent hybrid model that keeps PHI inside the certified environment, and our Nurse on Demand product line — staffed by licensed registered nurses for clinical-grade telephone triage. Forty-plus years of </w:t>
      </w:r>
      <w:proofErr w:type="gramStart"/>
      <w:r>
        <w:rPr>
          <w:color w:val="1F1F1F"/>
        </w:rPr>
        <w:t>healthcare-exclusive</w:t>
      </w:r>
      <w:proofErr w:type="gramEnd"/>
      <w:r>
        <w:rPr>
          <w:color w:val="1F1F1F"/>
        </w:rPr>
        <w:t xml:space="preserve"> experience </w:t>
      </w:r>
      <w:proofErr w:type="gramStart"/>
      <w:r>
        <w:rPr>
          <w:color w:val="1F1F1F"/>
        </w:rPr>
        <w:t>inform</w:t>
      </w:r>
      <w:proofErr w:type="gramEnd"/>
      <w:r>
        <w:rPr>
          <w:color w:val="1F1F1F"/>
        </w:rPr>
        <w:t xml:space="preserve"> every workflow we deploy.</w:t>
      </w:r>
    </w:p>
    <w:p w14:paraId="60796A5E" w14:textId="77777777" w:rsidR="00FE4540" w:rsidRDefault="007E113E">
      <w:pPr>
        <w:keepNext/>
        <w:keepLines/>
        <w:spacing w:before="400" w:after="80"/>
      </w:pPr>
      <w:r>
        <w:rPr>
          <w:b/>
          <w:bCs/>
          <w:color w:val="C9A24A"/>
          <w:sz w:val="18"/>
          <w:szCs w:val="18"/>
        </w:rPr>
        <w:lastRenderedPageBreak/>
        <w:t>SECTION 8</w:t>
      </w:r>
    </w:p>
    <w:p w14:paraId="2CF2822C" w14:textId="77777777" w:rsidR="00FE4540" w:rsidRDefault="007E113E">
      <w:pPr>
        <w:pStyle w:val="Heading1"/>
        <w:keepNext/>
        <w:keepLines/>
      </w:pPr>
      <w:r>
        <w:t>Conclusion and Next Steps</w:t>
      </w:r>
    </w:p>
    <w:p w14:paraId="6E78ACA5" w14:textId="77777777" w:rsidR="00FE4540" w:rsidRDefault="00FE4540">
      <w:pPr>
        <w:pBdr>
          <w:bottom w:val="single" w:sz="4" w:space="1" w:color="C9A24A"/>
        </w:pBdr>
        <w:spacing w:before="100" w:after="100"/>
      </w:pPr>
    </w:p>
    <w:p w14:paraId="26842DE7" w14:textId="77777777" w:rsidR="00FE4540" w:rsidRDefault="007E113E">
      <w:pPr>
        <w:spacing w:after="160" w:line="300" w:lineRule="auto"/>
      </w:pPr>
      <w:r>
        <w:rPr>
          <w:color w:val="1F1F1F"/>
        </w:rPr>
        <w:t>Healthcare runs on trust. When a patient gives their date of birth, current medications, and a description of their symptoms to an after-hours operator, they extend the same trust they extend to the physician's office during business hours. The fact that the call is being handled by an outsourced vendor is invisible to them — and legally irrelevant when something goes wrong. The covered entity's name appears on the breach notification letter. The covered entity's compliance officer takes the OCR call.</w:t>
      </w:r>
    </w:p>
    <w:p w14:paraId="37E1C96A" w14:textId="77777777" w:rsidR="00FE4540" w:rsidRDefault="007E113E">
      <w:pPr>
        <w:spacing w:after="160" w:line="300" w:lineRule="auto"/>
      </w:pPr>
      <w:r>
        <w:rPr>
          <w:color w:val="1F1F1F"/>
        </w:rPr>
        <w:t>HITRUST r2 certification is not a marketing badge. It is third-party, recurring, evidence-based proof that the controls protecting patient information have been independently validated and are continuously maintained against the most current threat landscape. As the regulatory floor rises in May 2026 and as enterprise procurement standards consolidate around HITRUST, it is fast becoming the dividing line between a vendor a healthcare compliance officer can approve and a vendor that compliance officer cannot</w:t>
      </w:r>
      <w:r>
        <w:rPr>
          <w:color w:val="1F1F1F"/>
        </w:rPr>
        <w:t>.</w:t>
      </w:r>
    </w:p>
    <w:p w14:paraId="6BF8C0D2" w14:textId="77777777" w:rsidR="00FE4540" w:rsidRDefault="007E113E">
      <w:pPr>
        <w:spacing w:after="160" w:line="300" w:lineRule="auto"/>
      </w:pPr>
      <w:r>
        <w:rPr>
          <w:color w:val="1F1F1F"/>
        </w:rPr>
        <w:t>The cost of choosing right is a procurement question. The cost of choosing wrong is a breach notification, an OCR investigation, a class action complaint, and a headline that follows the organization for years.</w:t>
      </w:r>
    </w:p>
    <w:p w14:paraId="410A25E9" w14:textId="77777777" w:rsidR="00FE4540" w:rsidRDefault="007E113E">
      <w:pPr>
        <w:spacing w:before="320" w:after="200"/>
      </w:pPr>
      <w:r>
        <w:rPr>
          <w:b/>
          <w:bCs/>
          <w:color w:val="0E2A47"/>
          <w:sz w:val="26"/>
          <w:szCs w:val="26"/>
        </w:rPr>
        <w:t>Next steps</w:t>
      </w:r>
    </w:p>
    <w:p w14:paraId="3D5D2B98" w14:textId="77777777" w:rsidR="00FE4540" w:rsidRDefault="007E113E">
      <w:pPr>
        <w:spacing w:after="160" w:line="300" w:lineRule="auto"/>
      </w:pPr>
      <w:r>
        <w:rPr>
          <w:color w:val="1F1F1F"/>
        </w:rPr>
        <w:t>If you are evaluating your current answering service, or contracting with one for the first time, TAS United offers two no-cost engagements to help you move forward:</w:t>
      </w:r>
    </w:p>
    <w:p w14:paraId="3A5E38CA" w14:textId="77777777" w:rsidR="00FE4540" w:rsidRDefault="007E113E">
      <w:pPr>
        <w:pStyle w:val="ListParagraph"/>
        <w:numPr>
          <w:ilvl w:val="0"/>
          <w:numId w:val="4"/>
        </w:numPr>
        <w:spacing w:after="120" w:line="300" w:lineRule="auto"/>
      </w:pPr>
      <w:r>
        <w:rPr>
          <w:b/>
          <w:bCs/>
          <w:color w:val="0E2A47"/>
        </w:rPr>
        <w:t xml:space="preserve">Vendor risk review: </w:t>
      </w:r>
      <w:r>
        <w:rPr>
          <w:color w:val="1F1F1F"/>
        </w:rPr>
        <w:t xml:space="preserve">We will walk you through the seven-question evaluation framework in this paper applied to your current or prospective </w:t>
      </w:r>
      <w:proofErr w:type="gramStart"/>
      <w:r>
        <w:rPr>
          <w:color w:val="1F1F1F"/>
        </w:rPr>
        <w:t>vendor, and</w:t>
      </w:r>
      <w:proofErr w:type="gramEnd"/>
      <w:r>
        <w:rPr>
          <w:color w:val="1F1F1F"/>
        </w:rPr>
        <w:t xml:space="preserve"> identify the highest-priority gaps in your existing arrangement.</w:t>
      </w:r>
    </w:p>
    <w:p w14:paraId="4BB57DAA" w14:textId="77777777" w:rsidR="00FE4540" w:rsidRDefault="007E113E">
      <w:pPr>
        <w:pStyle w:val="ListParagraph"/>
        <w:numPr>
          <w:ilvl w:val="0"/>
          <w:numId w:val="4"/>
        </w:numPr>
        <w:spacing w:after="120" w:line="300" w:lineRule="auto"/>
      </w:pPr>
      <w:r>
        <w:rPr>
          <w:b/>
          <w:bCs/>
          <w:color w:val="0E2A47"/>
        </w:rPr>
        <w:t xml:space="preserve">HITRUST documentation request: </w:t>
      </w:r>
      <w:r>
        <w:rPr>
          <w:color w:val="1F1F1F"/>
        </w:rPr>
        <w:t>We will provide our current HITRUST r2 certification letter, scope documentation, and compliance crosswalk on request — for your compliance file, your cyber insurance application, or your own internal vendor risk assessment.</w:t>
      </w:r>
    </w:p>
    <w:p w14:paraId="0CA2CC43" w14:textId="77777777" w:rsidR="00FE4540" w:rsidRDefault="007E113E">
      <w:pPr>
        <w:spacing w:line="300" w:lineRule="auto"/>
      </w:pPr>
      <w:r>
        <w:rPr>
          <w:color w:val="1F1F1F"/>
        </w:rPr>
        <w:t>Contact us at the information on the following page to schedule either engagement.</w:t>
      </w:r>
    </w:p>
    <w:p w14:paraId="5C82D039" w14:textId="77777777" w:rsidR="00FE4540" w:rsidRDefault="007E113E">
      <w:pPr>
        <w:keepNext/>
        <w:keepLines/>
        <w:spacing w:before="400" w:after="80"/>
      </w:pPr>
      <w:r>
        <w:rPr>
          <w:b/>
          <w:bCs/>
          <w:color w:val="C9A24A"/>
          <w:sz w:val="18"/>
          <w:szCs w:val="18"/>
        </w:rPr>
        <w:t>ABOUT</w:t>
      </w:r>
    </w:p>
    <w:p w14:paraId="217B0927" w14:textId="77777777" w:rsidR="00FE4540" w:rsidRDefault="007E113E">
      <w:pPr>
        <w:pStyle w:val="Heading1"/>
        <w:keepNext/>
        <w:keepLines/>
      </w:pPr>
      <w:r>
        <w:t>About TAS United</w:t>
      </w:r>
    </w:p>
    <w:p w14:paraId="081AECF8" w14:textId="77777777" w:rsidR="00FE4540" w:rsidRDefault="00FE4540">
      <w:pPr>
        <w:pBdr>
          <w:bottom w:val="single" w:sz="4" w:space="1" w:color="C9A24A"/>
        </w:pBdr>
        <w:spacing w:before="100" w:after="100"/>
      </w:pPr>
    </w:p>
    <w:p w14:paraId="0C01AABB" w14:textId="77777777" w:rsidR="00FE4540" w:rsidRDefault="007E113E">
      <w:pPr>
        <w:spacing w:after="160" w:line="300" w:lineRule="auto"/>
      </w:pPr>
      <w:r>
        <w:rPr>
          <w:color w:val="1F1F1F"/>
        </w:rPr>
        <w:t xml:space="preserve">TAS United is a healthcare-exclusive medical answering service and AI agent platform serving physician practices, hospital systems, behavioral health groups, FQHCs, and specialty pharmaceutical clients </w:t>
      </w:r>
      <w:r>
        <w:rPr>
          <w:color w:val="1F1F1F"/>
        </w:rPr>
        <w:lastRenderedPageBreak/>
        <w:t>across the United States and Puerto Rico. Founded in 1984 and headquartered in Lubbock, Texas with operations in Guaynabo, Puerto Rico, TAS United has built every workflow, system, and policy around a single industry: healthcare.</w:t>
      </w:r>
    </w:p>
    <w:p w14:paraId="36FF8A19" w14:textId="77777777" w:rsidR="00FE4540" w:rsidRDefault="007E113E">
      <w:pPr>
        <w:keepNext/>
        <w:keepLines/>
        <w:spacing w:before="220" w:after="100"/>
      </w:pPr>
      <w:r>
        <w:rPr>
          <w:b/>
          <w:bCs/>
          <w:color w:val="1F8A8A"/>
          <w:sz w:val="24"/>
          <w:szCs w:val="24"/>
        </w:rPr>
        <w:t>Core capabilities</w:t>
      </w:r>
    </w:p>
    <w:p w14:paraId="0461A379" w14:textId="77777777" w:rsidR="00FE4540" w:rsidRDefault="007E113E">
      <w:pPr>
        <w:pStyle w:val="ListParagraph"/>
        <w:numPr>
          <w:ilvl w:val="0"/>
          <w:numId w:val="2"/>
        </w:numPr>
        <w:spacing w:after="120" w:line="300" w:lineRule="auto"/>
      </w:pPr>
      <w:r>
        <w:rPr>
          <w:b/>
          <w:bCs/>
          <w:color w:val="0E2A47"/>
        </w:rPr>
        <w:t xml:space="preserve">24/7/365 medical answering service </w:t>
      </w:r>
      <w:r>
        <w:rPr>
          <w:color w:val="1F1F1F"/>
        </w:rPr>
        <w:t>with in-house bilingual (English/Spanish) live agents</w:t>
      </w:r>
    </w:p>
    <w:p w14:paraId="30C909E3" w14:textId="77777777" w:rsidR="00FE4540" w:rsidRDefault="007E113E">
      <w:pPr>
        <w:pStyle w:val="ListParagraph"/>
        <w:numPr>
          <w:ilvl w:val="0"/>
          <w:numId w:val="2"/>
        </w:numPr>
        <w:spacing w:after="120" w:line="300" w:lineRule="auto"/>
      </w:pPr>
      <w:r>
        <w:rPr>
          <w:b/>
          <w:bCs/>
          <w:color w:val="0E2A47"/>
        </w:rPr>
        <w:t xml:space="preserve">AI-Integrated Agent </w:t>
      </w:r>
      <w:r>
        <w:rPr>
          <w:color w:val="1F1F1F"/>
        </w:rPr>
        <w:t>hybrid model combining AI efficiency with live agent escalation</w:t>
      </w:r>
    </w:p>
    <w:p w14:paraId="2B8D1465" w14:textId="77777777" w:rsidR="00FE4540" w:rsidRDefault="007E113E">
      <w:pPr>
        <w:pStyle w:val="ListParagraph"/>
        <w:numPr>
          <w:ilvl w:val="0"/>
          <w:numId w:val="2"/>
        </w:numPr>
        <w:spacing w:after="120" w:line="300" w:lineRule="auto"/>
      </w:pPr>
      <w:r>
        <w:rPr>
          <w:b/>
          <w:bCs/>
          <w:color w:val="0E2A47"/>
        </w:rPr>
        <w:t xml:space="preserve">Nurse on Demand </w:t>
      </w:r>
      <w:r>
        <w:rPr>
          <w:color w:val="1F1F1F"/>
        </w:rPr>
        <w:t>clinical-grade telephone triage staffed by licensed registered nurses</w:t>
      </w:r>
    </w:p>
    <w:p w14:paraId="5E5432BE" w14:textId="77777777" w:rsidR="00FE4540" w:rsidRDefault="007E113E">
      <w:pPr>
        <w:pStyle w:val="ListParagraph"/>
        <w:numPr>
          <w:ilvl w:val="0"/>
          <w:numId w:val="2"/>
        </w:numPr>
        <w:spacing w:after="120" w:line="300" w:lineRule="auto"/>
      </w:pPr>
      <w:r>
        <w:rPr>
          <w:color w:val="1F1F1F"/>
        </w:rPr>
        <w:t>Appointment scheduling, message dispatch, and on-call physician routing</w:t>
      </w:r>
    </w:p>
    <w:p w14:paraId="5F2B8ADF" w14:textId="77777777" w:rsidR="00FE4540" w:rsidRDefault="007E113E">
      <w:pPr>
        <w:pStyle w:val="ListParagraph"/>
        <w:numPr>
          <w:ilvl w:val="0"/>
          <w:numId w:val="2"/>
        </w:numPr>
        <w:spacing w:after="120" w:line="300" w:lineRule="auto"/>
      </w:pPr>
      <w:r>
        <w:rPr>
          <w:color w:val="1F1F1F"/>
        </w:rPr>
        <w:t xml:space="preserve">Patient retention and reactivation outreach </w:t>
      </w:r>
    </w:p>
    <w:p w14:paraId="247B83C6" w14:textId="77777777" w:rsidR="00FE4540" w:rsidRDefault="007E113E">
      <w:pPr>
        <w:pStyle w:val="ListParagraph"/>
        <w:numPr>
          <w:ilvl w:val="0"/>
          <w:numId w:val="2"/>
        </w:numPr>
        <w:spacing w:after="120" w:line="300" w:lineRule="auto"/>
      </w:pPr>
      <w:r>
        <w:rPr>
          <w:b/>
          <w:bCs/>
          <w:color w:val="0E2A47"/>
        </w:rPr>
        <w:t xml:space="preserve">Custom workflows </w:t>
      </w:r>
      <w:r>
        <w:rPr>
          <w:color w:val="1F1F1F"/>
        </w:rPr>
        <w:t>for specialty practices, multi-site groups, and enterprise health systems</w:t>
      </w:r>
    </w:p>
    <w:p w14:paraId="317B18F3" w14:textId="77777777" w:rsidR="00FE4540" w:rsidRDefault="007E113E">
      <w:pPr>
        <w:keepNext/>
        <w:keepLines/>
        <w:spacing w:before="220" w:after="100"/>
      </w:pPr>
      <w:r>
        <w:rPr>
          <w:b/>
          <w:bCs/>
          <w:color w:val="1F8A8A"/>
          <w:sz w:val="24"/>
          <w:szCs w:val="24"/>
        </w:rPr>
        <w:t>Compliance and security</w:t>
      </w:r>
    </w:p>
    <w:p w14:paraId="5A78E9D5" w14:textId="77777777" w:rsidR="00FE4540" w:rsidRDefault="007E113E">
      <w:pPr>
        <w:pStyle w:val="ListParagraph"/>
        <w:numPr>
          <w:ilvl w:val="0"/>
          <w:numId w:val="2"/>
        </w:numPr>
        <w:spacing w:after="120" w:line="300" w:lineRule="auto"/>
      </w:pPr>
      <w:r>
        <w:rPr>
          <w:b/>
          <w:bCs/>
          <w:color w:val="0E2A47"/>
        </w:rPr>
        <w:t>HITRUST r2 certified</w:t>
      </w:r>
    </w:p>
    <w:p w14:paraId="6BAF7C20" w14:textId="77777777" w:rsidR="00FE4540" w:rsidRDefault="007E113E">
      <w:pPr>
        <w:pStyle w:val="ListParagraph"/>
        <w:numPr>
          <w:ilvl w:val="0"/>
          <w:numId w:val="2"/>
        </w:numPr>
        <w:spacing w:after="120" w:line="300" w:lineRule="auto"/>
      </w:pPr>
      <w:r>
        <w:rPr>
          <w:color w:val="1F1F1F"/>
        </w:rPr>
        <w:t>HIPAA and HITECH compliant</w:t>
      </w:r>
    </w:p>
    <w:p w14:paraId="4639B91B" w14:textId="77777777" w:rsidR="00FE4540" w:rsidRDefault="007E113E">
      <w:pPr>
        <w:pStyle w:val="ListParagraph"/>
        <w:numPr>
          <w:ilvl w:val="0"/>
          <w:numId w:val="2"/>
        </w:numPr>
        <w:spacing w:after="120" w:line="300" w:lineRule="auto"/>
      </w:pPr>
      <w:r>
        <w:rPr>
          <w:color w:val="1F1F1F"/>
        </w:rPr>
        <w:t>100% U.S.- and Puerto Rico–based operations</w:t>
      </w:r>
    </w:p>
    <w:p w14:paraId="2F7F26CA" w14:textId="77777777" w:rsidR="00FE4540" w:rsidRDefault="007E113E">
      <w:pPr>
        <w:pStyle w:val="ListParagraph"/>
        <w:numPr>
          <w:ilvl w:val="0"/>
          <w:numId w:val="2"/>
        </w:numPr>
        <w:spacing w:after="120" w:line="300" w:lineRule="auto"/>
      </w:pPr>
      <w:r>
        <w:rPr>
          <w:color w:val="1F1F1F"/>
        </w:rPr>
        <w:t>W-2 employees with documented background screening</w:t>
      </w:r>
    </w:p>
    <w:p w14:paraId="3BFFCF07" w14:textId="77777777" w:rsidR="00FE4540" w:rsidRDefault="007E113E">
      <w:pPr>
        <w:pStyle w:val="ListParagraph"/>
        <w:numPr>
          <w:ilvl w:val="0"/>
          <w:numId w:val="2"/>
        </w:numPr>
        <w:spacing w:after="120" w:line="300" w:lineRule="auto"/>
      </w:pPr>
      <w:r>
        <w:rPr>
          <w:color w:val="1F1F1F"/>
        </w:rPr>
        <w:t>Bilingual coverage maintained in-house — no external translation services in the PHI workflow</w:t>
      </w:r>
    </w:p>
    <w:p w14:paraId="5FB6097F" w14:textId="77777777" w:rsidR="00FE4540" w:rsidRDefault="00FE4540">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E4540" w14:paraId="491F1DEB" w14:textId="77777777">
        <w:tblPrEx>
          <w:tblCellMar>
            <w:top w:w="0" w:type="dxa"/>
            <w:bottom w:w="0" w:type="dxa"/>
          </w:tblCellMar>
        </w:tblPrEx>
        <w:trPr>
          <w:cantSplit/>
        </w:trPr>
        <w:tc>
          <w:tcPr>
            <w:tcW w:w="4680" w:type="dxa"/>
            <w:tcBorders>
              <w:top w:val="single" w:sz="4" w:space="0" w:color="C9A24A"/>
              <w:left w:val="none" w:sz="0" w:space="0" w:color="FFFFFF"/>
              <w:bottom w:val="none" w:sz="0" w:space="0" w:color="FFFFFF"/>
              <w:right w:val="none" w:sz="0" w:space="0" w:color="FFFFFF"/>
            </w:tcBorders>
            <w:tcMar>
              <w:top w:w="200" w:type="dxa"/>
              <w:left w:w="0" w:type="dxa"/>
              <w:bottom w:w="0" w:type="dxa"/>
              <w:right w:w="200" w:type="dxa"/>
            </w:tcMar>
          </w:tcPr>
          <w:p w14:paraId="659731B0" w14:textId="77777777" w:rsidR="00FE4540" w:rsidRDefault="007E113E">
            <w:pPr>
              <w:spacing w:after="100"/>
            </w:pPr>
            <w:r>
              <w:rPr>
                <w:b/>
                <w:bCs/>
                <w:color w:val="0E2A47"/>
                <w:sz w:val="24"/>
                <w:szCs w:val="24"/>
              </w:rPr>
              <w:t>Contact TAS United</w:t>
            </w:r>
          </w:p>
          <w:p w14:paraId="745A23FF" w14:textId="77777777" w:rsidR="00FE4540" w:rsidRDefault="007E113E">
            <w:pPr>
              <w:spacing w:after="40"/>
            </w:pPr>
            <w:r>
              <w:rPr>
                <w:b/>
                <w:bCs/>
                <w:color w:val="0E2A47"/>
              </w:rPr>
              <w:t>Clay McElroy, MBA</w:t>
            </w:r>
          </w:p>
          <w:p w14:paraId="4123DF87" w14:textId="77777777" w:rsidR="00FE4540" w:rsidRDefault="007E113E">
            <w:pPr>
              <w:spacing w:after="40"/>
            </w:pPr>
            <w:r>
              <w:rPr>
                <w:i/>
                <w:iCs/>
                <w:color w:val="555555"/>
                <w:sz w:val="20"/>
                <w:szCs w:val="20"/>
              </w:rPr>
              <w:t>Director of Sales &amp; Client Engagement</w:t>
            </w:r>
          </w:p>
        </w:tc>
        <w:tc>
          <w:tcPr>
            <w:tcW w:w="4680" w:type="dxa"/>
            <w:tcBorders>
              <w:top w:val="single" w:sz="4" w:space="0" w:color="C9A24A"/>
              <w:left w:val="none" w:sz="0" w:space="0" w:color="FFFFFF"/>
              <w:bottom w:val="none" w:sz="0" w:space="0" w:color="FFFFFF"/>
              <w:right w:val="none" w:sz="0" w:space="0" w:color="FFFFFF"/>
            </w:tcBorders>
            <w:tcMar>
              <w:top w:w="200" w:type="dxa"/>
              <w:left w:w="200" w:type="dxa"/>
              <w:bottom w:w="0" w:type="dxa"/>
              <w:right w:w="0" w:type="dxa"/>
            </w:tcMar>
          </w:tcPr>
          <w:p w14:paraId="18431B7B" w14:textId="77777777" w:rsidR="00FE4540" w:rsidRDefault="007E113E">
            <w:pPr>
              <w:spacing w:after="40"/>
            </w:pPr>
            <w:r>
              <w:rPr>
                <w:b/>
                <w:bCs/>
                <w:color w:val="1F1F1F"/>
              </w:rPr>
              <w:t>TAS United</w:t>
            </w:r>
          </w:p>
          <w:p w14:paraId="61820490" w14:textId="77777777" w:rsidR="00FE4540" w:rsidRDefault="007E113E">
            <w:pPr>
              <w:spacing w:after="30"/>
            </w:pPr>
            <w:r>
              <w:rPr>
                <w:color w:val="1F1F1F"/>
              </w:rPr>
              <w:t>Headquarters: Lubbock, Texas</w:t>
            </w:r>
          </w:p>
          <w:p w14:paraId="53F60212" w14:textId="77777777" w:rsidR="00FE4540" w:rsidRDefault="007E113E">
            <w:pPr>
              <w:spacing w:after="30"/>
            </w:pPr>
            <w:r>
              <w:rPr>
                <w:color w:val="1F1F1F"/>
              </w:rPr>
              <w:t>Operations Center: Guaynabo, Puerto Rico</w:t>
            </w:r>
          </w:p>
          <w:p w14:paraId="1FBA4CC0" w14:textId="77777777" w:rsidR="00FE4540" w:rsidRDefault="007E113E">
            <w:r>
              <w:rPr>
                <w:color w:val="555555"/>
              </w:rPr>
              <w:t xml:space="preserve">Web: </w:t>
            </w:r>
            <w:r>
              <w:rPr>
                <w:b/>
                <w:bCs/>
                <w:color w:val="1F8A8A"/>
              </w:rPr>
              <w:t>www.tasunited.com</w:t>
            </w:r>
          </w:p>
        </w:tc>
      </w:tr>
    </w:tbl>
    <w:p w14:paraId="49CB94BD" w14:textId="77777777" w:rsidR="00FE4540" w:rsidRDefault="007E113E">
      <w:pPr>
        <w:pBdr>
          <w:top w:val="single" w:sz="4" w:space="6" w:color="8A8A8A"/>
        </w:pBdr>
        <w:spacing w:before="200"/>
        <w:jc w:val="center"/>
      </w:pPr>
      <w:r>
        <w:rPr>
          <w:i/>
          <w:iCs/>
          <w:color w:val="8A8A8A"/>
          <w:sz w:val="16"/>
          <w:szCs w:val="16"/>
        </w:rPr>
        <w:t>© 2026 TAS United. All rights reserved. This document is provided for informational purposes only and does not constitute legal, compliance, or insurance advice.</w:t>
      </w:r>
    </w:p>
    <w:sectPr w:rsidR="00FE4540">
      <w:headerReference w:type="default" r:id="rId7"/>
      <w:footerReference w:type="default" r:id="rId8"/>
      <w:pgSz w:w="12240" w:h="15840"/>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4C2D" w14:textId="77777777" w:rsidR="007E113E" w:rsidRDefault="007E113E">
      <w:r>
        <w:separator/>
      </w:r>
    </w:p>
  </w:endnote>
  <w:endnote w:type="continuationSeparator" w:id="0">
    <w:p w14:paraId="40F789D3" w14:textId="77777777" w:rsidR="007E113E" w:rsidRDefault="007E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5983" w14:textId="77777777" w:rsidR="00FE4540" w:rsidRDefault="007E113E">
    <w:pPr>
      <w:pBdr>
        <w:top w:val="single" w:sz="6" w:space="6" w:color="C9A24A"/>
      </w:pBdr>
      <w:tabs>
        <w:tab w:val="right" w:pos="9026"/>
      </w:tabs>
    </w:pPr>
    <w:r>
      <w:rPr>
        <w:color w:val="555555"/>
        <w:sz w:val="16"/>
        <w:szCs w:val="16"/>
      </w:rPr>
      <w:t>TAS United  |  Healthcare-Exclusive Since 1984  |  www.tasunited.com</w:t>
    </w:r>
    <w:r>
      <w:rPr>
        <w:color w:val="1F1F1F"/>
        <w:sz w:val="16"/>
        <w:szCs w:val="16"/>
      </w:rPr>
      <w:tab/>
    </w:r>
    <w:r>
      <w:rPr>
        <w:color w:val="555555"/>
        <w:sz w:val="16"/>
        <w:szCs w:val="16"/>
      </w:rPr>
      <w:t xml:space="preserve">Page </w:t>
    </w:r>
    <w:r>
      <w:rPr>
        <w:b/>
        <w:bCs/>
        <w:color w:val="0E2A47"/>
        <w:sz w:val="16"/>
        <w:szCs w:val="16"/>
      </w:rPr>
      <w:fldChar w:fldCharType="begin"/>
    </w:r>
    <w:r>
      <w:rPr>
        <w:b/>
        <w:bCs/>
        <w:color w:val="0E2A47"/>
        <w:sz w:val="16"/>
        <w:szCs w:val="16"/>
      </w:rPr>
      <w:instrText>PAGE</w:instrText>
    </w:r>
    <w:r>
      <w:rPr>
        <w:b/>
        <w:bCs/>
        <w:color w:val="0E2A47"/>
        <w:sz w:val="16"/>
        <w:szCs w:val="16"/>
      </w:rPr>
      <w:fldChar w:fldCharType="separate"/>
    </w:r>
    <w:r w:rsidR="003C268B">
      <w:rPr>
        <w:b/>
        <w:bCs/>
        <w:noProof/>
        <w:color w:val="0E2A47"/>
        <w:sz w:val="16"/>
        <w:szCs w:val="16"/>
      </w:rPr>
      <w:t>2</w:t>
    </w:r>
    <w:r>
      <w:rPr>
        <w:b/>
        <w:bCs/>
        <w:color w:val="0E2A4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0D7A" w14:textId="77777777" w:rsidR="007E113E" w:rsidRDefault="007E113E">
      <w:r>
        <w:separator/>
      </w:r>
    </w:p>
  </w:footnote>
  <w:footnote w:type="continuationSeparator" w:id="0">
    <w:p w14:paraId="76C68259" w14:textId="77777777" w:rsidR="007E113E" w:rsidRDefault="007E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6B89" w14:textId="77777777" w:rsidR="00FE4540" w:rsidRDefault="007E113E">
    <w:pPr>
      <w:pBdr>
        <w:bottom w:val="single" w:sz="6" w:space="6" w:color="C9A24A"/>
      </w:pBdr>
      <w:jc w:val="right"/>
    </w:pPr>
    <w:r>
      <w:rPr>
        <w:b/>
        <w:bCs/>
        <w:color w:val="0E2A47"/>
        <w:sz w:val="16"/>
        <w:szCs w:val="16"/>
      </w:rPr>
      <w:t xml:space="preserve">TAS UNITED  |  </w:t>
    </w:r>
    <w:r>
      <w:rPr>
        <w:i/>
        <w:iCs/>
        <w:color w:val="555555"/>
        <w:sz w:val="16"/>
        <w:szCs w:val="16"/>
      </w:rPr>
      <w:t>Why Your Medical Answering Service Must Be HITRUST Certified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59BB"/>
    <w:multiLevelType w:val="hybridMultilevel"/>
    <w:tmpl w:val="4A0E599E"/>
    <w:lvl w:ilvl="0" w:tplc="886AC6C0">
      <w:start w:val="1"/>
      <w:numFmt w:val="bullet"/>
      <w:lvlText w:val="■"/>
      <w:lvlJc w:val="left"/>
      <w:pPr>
        <w:ind w:left="720" w:hanging="360"/>
      </w:pPr>
      <w:rPr>
        <w:color w:val="1F8A8A"/>
      </w:rPr>
    </w:lvl>
    <w:lvl w:ilvl="1" w:tplc="3C9EE098">
      <w:numFmt w:val="decimal"/>
      <w:lvlText w:val=""/>
      <w:lvlJc w:val="left"/>
    </w:lvl>
    <w:lvl w:ilvl="2" w:tplc="C220BA4A">
      <w:numFmt w:val="decimal"/>
      <w:lvlText w:val=""/>
      <w:lvlJc w:val="left"/>
    </w:lvl>
    <w:lvl w:ilvl="3" w:tplc="4D505AFE">
      <w:numFmt w:val="decimal"/>
      <w:lvlText w:val=""/>
      <w:lvlJc w:val="left"/>
    </w:lvl>
    <w:lvl w:ilvl="4" w:tplc="3F9C9808">
      <w:numFmt w:val="decimal"/>
      <w:lvlText w:val=""/>
      <w:lvlJc w:val="left"/>
    </w:lvl>
    <w:lvl w:ilvl="5" w:tplc="E87EAAA8">
      <w:numFmt w:val="decimal"/>
      <w:lvlText w:val=""/>
      <w:lvlJc w:val="left"/>
    </w:lvl>
    <w:lvl w:ilvl="6" w:tplc="943EAEFC">
      <w:numFmt w:val="decimal"/>
      <w:lvlText w:val=""/>
      <w:lvlJc w:val="left"/>
    </w:lvl>
    <w:lvl w:ilvl="7" w:tplc="852C4E2A">
      <w:numFmt w:val="decimal"/>
      <w:lvlText w:val=""/>
      <w:lvlJc w:val="left"/>
    </w:lvl>
    <w:lvl w:ilvl="8" w:tplc="1744F7B0">
      <w:numFmt w:val="decimal"/>
      <w:lvlText w:val=""/>
      <w:lvlJc w:val="left"/>
    </w:lvl>
  </w:abstractNum>
  <w:abstractNum w:abstractNumId="1" w15:restartNumberingAfterBreak="0">
    <w:nsid w:val="235704E8"/>
    <w:multiLevelType w:val="hybridMultilevel"/>
    <w:tmpl w:val="B3D6B306"/>
    <w:lvl w:ilvl="0" w:tplc="92FC499E">
      <w:start w:val="1"/>
      <w:numFmt w:val="decimal"/>
      <w:lvlText w:val="%1."/>
      <w:lvlJc w:val="left"/>
      <w:pPr>
        <w:ind w:left="720" w:hanging="360"/>
      </w:pPr>
    </w:lvl>
    <w:lvl w:ilvl="1" w:tplc="990ABE54">
      <w:numFmt w:val="decimal"/>
      <w:lvlText w:val=""/>
      <w:lvlJc w:val="left"/>
    </w:lvl>
    <w:lvl w:ilvl="2" w:tplc="2186822A">
      <w:numFmt w:val="decimal"/>
      <w:lvlText w:val=""/>
      <w:lvlJc w:val="left"/>
    </w:lvl>
    <w:lvl w:ilvl="3" w:tplc="116A840C">
      <w:numFmt w:val="decimal"/>
      <w:lvlText w:val=""/>
      <w:lvlJc w:val="left"/>
    </w:lvl>
    <w:lvl w:ilvl="4" w:tplc="6922CA08">
      <w:numFmt w:val="decimal"/>
      <w:lvlText w:val=""/>
      <w:lvlJc w:val="left"/>
    </w:lvl>
    <w:lvl w:ilvl="5" w:tplc="34F29784">
      <w:numFmt w:val="decimal"/>
      <w:lvlText w:val=""/>
      <w:lvlJc w:val="left"/>
    </w:lvl>
    <w:lvl w:ilvl="6" w:tplc="4820530E">
      <w:numFmt w:val="decimal"/>
      <w:lvlText w:val=""/>
      <w:lvlJc w:val="left"/>
    </w:lvl>
    <w:lvl w:ilvl="7" w:tplc="A2E26858">
      <w:numFmt w:val="decimal"/>
      <w:lvlText w:val=""/>
      <w:lvlJc w:val="left"/>
    </w:lvl>
    <w:lvl w:ilvl="8" w:tplc="59E04F9E">
      <w:numFmt w:val="decimal"/>
      <w:lvlText w:val=""/>
      <w:lvlJc w:val="left"/>
    </w:lvl>
  </w:abstractNum>
  <w:abstractNum w:abstractNumId="2" w15:restartNumberingAfterBreak="0">
    <w:nsid w:val="37C673F5"/>
    <w:multiLevelType w:val="hybridMultilevel"/>
    <w:tmpl w:val="BC2433CA"/>
    <w:lvl w:ilvl="0" w:tplc="4F8AF89C">
      <w:start w:val="1"/>
      <w:numFmt w:val="bullet"/>
      <w:lvlText w:val="●"/>
      <w:lvlJc w:val="left"/>
      <w:pPr>
        <w:ind w:left="720" w:hanging="360"/>
      </w:pPr>
    </w:lvl>
    <w:lvl w:ilvl="1" w:tplc="FFBEB0EC">
      <w:start w:val="1"/>
      <w:numFmt w:val="bullet"/>
      <w:lvlText w:val="○"/>
      <w:lvlJc w:val="left"/>
      <w:pPr>
        <w:ind w:left="1440" w:hanging="360"/>
      </w:pPr>
    </w:lvl>
    <w:lvl w:ilvl="2" w:tplc="DB46AF62">
      <w:start w:val="1"/>
      <w:numFmt w:val="bullet"/>
      <w:lvlText w:val="■"/>
      <w:lvlJc w:val="left"/>
      <w:pPr>
        <w:ind w:left="2160" w:hanging="360"/>
      </w:pPr>
    </w:lvl>
    <w:lvl w:ilvl="3" w:tplc="DE503226">
      <w:start w:val="1"/>
      <w:numFmt w:val="bullet"/>
      <w:lvlText w:val="●"/>
      <w:lvlJc w:val="left"/>
      <w:pPr>
        <w:ind w:left="2880" w:hanging="360"/>
      </w:pPr>
    </w:lvl>
    <w:lvl w:ilvl="4" w:tplc="2A26586C">
      <w:start w:val="1"/>
      <w:numFmt w:val="bullet"/>
      <w:lvlText w:val="○"/>
      <w:lvlJc w:val="left"/>
      <w:pPr>
        <w:ind w:left="3600" w:hanging="360"/>
      </w:pPr>
    </w:lvl>
    <w:lvl w:ilvl="5" w:tplc="C14AB00A">
      <w:start w:val="1"/>
      <w:numFmt w:val="bullet"/>
      <w:lvlText w:val="■"/>
      <w:lvlJc w:val="left"/>
      <w:pPr>
        <w:ind w:left="4320" w:hanging="360"/>
      </w:pPr>
    </w:lvl>
    <w:lvl w:ilvl="6" w:tplc="EAFE8FB4">
      <w:start w:val="1"/>
      <w:numFmt w:val="bullet"/>
      <w:lvlText w:val="●"/>
      <w:lvlJc w:val="left"/>
      <w:pPr>
        <w:ind w:left="5040" w:hanging="360"/>
      </w:pPr>
    </w:lvl>
    <w:lvl w:ilvl="7" w:tplc="73CA94BE">
      <w:start w:val="1"/>
      <w:numFmt w:val="bullet"/>
      <w:lvlText w:val="●"/>
      <w:lvlJc w:val="left"/>
      <w:pPr>
        <w:ind w:left="5760" w:hanging="360"/>
      </w:pPr>
    </w:lvl>
    <w:lvl w:ilvl="8" w:tplc="EA6CB7D8">
      <w:start w:val="1"/>
      <w:numFmt w:val="bullet"/>
      <w:lvlText w:val="●"/>
      <w:lvlJc w:val="left"/>
      <w:pPr>
        <w:ind w:left="6480" w:hanging="360"/>
      </w:pPr>
    </w:lvl>
  </w:abstractNum>
  <w:abstractNum w:abstractNumId="3" w15:restartNumberingAfterBreak="0">
    <w:nsid w:val="6D081100"/>
    <w:multiLevelType w:val="hybridMultilevel"/>
    <w:tmpl w:val="D4626B50"/>
    <w:lvl w:ilvl="0" w:tplc="38604696">
      <w:start w:val="1"/>
      <w:numFmt w:val="decimal"/>
      <w:lvlText w:val="%1."/>
      <w:lvlJc w:val="left"/>
      <w:pPr>
        <w:ind w:left="720" w:hanging="360"/>
      </w:pPr>
    </w:lvl>
    <w:lvl w:ilvl="1" w:tplc="4C28F776">
      <w:numFmt w:val="decimal"/>
      <w:lvlText w:val=""/>
      <w:lvlJc w:val="left"/>
    </w:lvl>
    <w:lvl w:ilvl="2" w:tplc="FEAEFB84">
      <w:numFmt w:val="decimal"/>
      <w:lvlText w:val=""/>
      <w:lvlJc w:val="left"/>
    </w:lvl>
    <w:lvl w:ilvl="3" w:tplc="882C9824">
      <w:numFmt w:val="decimal"/>
      <w:lvlText w:val=""/>
      <w:lvlJc w:val="left"/>
    </w:lvl>
    <w:lvl w:ilvl="4" w:tplc="3C947E78">
      <w:numFmt w:val="decimal"/>
      <w:lvlText w:val=""/>
      <w:lvlJc w:val="left"/>
    </w:lvl>
    <w:lvl w:ilvl="5" w:tplc="365CC122">
      <w:numFmt w:val="decimal"/>
      <w:lvlText w:val=""/>
      <w:lvlJc w:val="left"/>
    </w:lvl>
    <w:lvl w:ilvl="6" w:tplc="F008229E">
      <w:numFmt w:val="decimal"/>
      <w:lvlText w:val=""/>
      <w:lvlJc w:val="left"/>
    </w:lvl>
    <w:lvl w:ilvl="7" w:tplc="50D097CE">
      <w:numFmt w:val="decimal"/>
      <w:lvlText w:val=""/>
      <w:lvlJc w:val="left"/>
    </w:lvl>
    <w:lvl w:ilvl="8" w:tplc="1D8A8C22">
      <w:numFmt w:val="decimal"/>
      <w:lvlText w:val=""/>
      <w:lvlJc w:val="left"/>
    </w:lvl>
  </w:abstractNum>
  <w:num w:numId="1" w16cid:durableId="398098421">
    <w:abstractNumId w:val="2"/>
    <w:lvlOverride w:ilvl="0">
      <w:startOverride w:val="1"/>
    </w:lvlOverride>
  </w:num>
  <w:num w:numId="2" w16cid:durableId="1733575491">
    <w:abstractNumId w:val="0"/>
    <w:lvlOverride w:ilvl="0">
      <w:startOverride w:val="1"/>
    </w:lvlOverride>
  </w:num>
  <w:num w:numId="3" w16cid:durableId="1136605877">
    <w:abstractNumId w:val="1"/>
    <w:lvlOverride w:ilvl="0">
      <w:startOverride w:val="1"/>
    </w:lvlOverride>
  </w:num>
  <w:num w:numId="4" w16cid:durableId="64586243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40"/>
    <w:rsid w:val="003C268B"/>
    <w:rsid w:val="00713C46"/>
    <w:rsid w:val="007E113E"/>
    <w:rsid w:val="00FE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8377"/>
  <w15:docId w15:val="{D103EB1B-D994-4B04-9083-18F865A1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60"/>
      <w:outlineLvl w:val="0"/>
    </w:pPr>
    <w:rPr>
      <w:b/>
      <w:bCs/>
      <w:color w:val="0E2A47"/>
      <w:sz w:val="36"/>
      <w:szCs w:val="36"/>
    </w:rPr>
  </w:style>
  <w:style w:type="paragraph" w:styleId="Heading2">
    <w:name w:val="heading 2"/>
    <w:uiPriority w:val="9"/>
    <w:semiHidden/>
    <w:unhideWhenUsed/>
    <w:qFormat/>
    <w:pPr>
      <w:spacing w:before="320" w:after="140"/>
      <w:outlineLvl w:val="1"/>
    </w:pPr>
    <w:rPr>
      <w:b/>
      <w:bCs/>
      <w:color w:val="0E2A47"/>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3743</Words>
  <Characters>21341</Characters>
  <Application>Microsoft Office Word</Application>
  <DocSecurity>0</DocSecurity>
  <Lines>177</Lines>
  <Paragraphs>50</Paragraphs>
  <ScaleCrop>false</ScaleCrop>
  <Company>R - Laptops</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Your Medical Answering Service Must Be HITRUST Certified</dc:title>
  <dc:creator>TAS United</dc:creator>
  <dc:description>TAS United White Paper on HITRUST r2 certification for medical answering services</dc:description>
  <cp:lastModifiedBy>Clay McElroy, MBA</cp:lastModifiedBy>
  <cp:revision>2</cp:revision>
  <dcterms:created xsi:type="dcterms:W3CDTF">2026-05-12T15:29:00Z</dcterms:created>
  <dcterms:modified xsi:type="dcterms:W3CDTF">2026-05-12T15:29:00Z</dcterms:modified>
</cp:coreProperties>
</file>