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E21C" w14:textId="77777777" w:rsidR="0007736B" w:rsidRDefault="0007736B"/>
    <w:p w14:paraId="0A222BDC" w14:textId="77777777" w:rsidR="0007736B" w:rsidRDefault="00000000">
      <w:pPr>
        <w:spacing w:before="80" w:after="40"/>
        <w:jc w:val="center"/>
      </w:pPr>
      <w:r>
        <w:rPr>
          <w:b/>
          <w:bCs/>
          <w:color w:val="1B2A4A"/>
          <w:sz w:val="44"/>
          <w:szCs w:val="44"/>
        </w:rPr>
        <w:t>MEDICAL ANSWERING SERVICE</w:t>
      </w:r>
    </w:p>
    <w:p w14:paraId="5BF948AC" w14:textId="77777777" w:rsidR="0007736B" w:rsidRDefault="00000000">
      <w:pPr>
        <w:spacing w:after="40"/>
        <w:jc w:val="center"/>
      </w:pPr>
      <w:r>
        <w:rPr>
          <w:b/>
          <w:bCs/>
          <w:color w:val="00778B"/>
          <w:sz w:val="36"/>
          <w:szCs w:val="36"/>
        </w:rPr>
        <w:t>&amp; AI-INTEGRATED AGENT SOLUTIONS</w:t>
      </w:r>
    </w:p>
    <w:p w14:paraId="0565DFB4" w14:textId="77777777" w:rsidR="0007736B" w:rsidRDefault="00000000">
      <w:pPr>
        <w:spacing w:before="60" w:after="200"/>
        <w:jc w:val="center"/>
      </w:pPr>
      <w:r>
        <w:rPr>
          <w:i/>
          <w:iCs/>
          <w:color w:val="666666"/>
        </w:rPr>
        <w:t>How TAS United is Redefining Patient Communication for Healthcare Organizations</w:t>
      </w:r>
    </w:p>
    <w:p w14:paraId="3043C17A" w14:textId="77777777" w:rsidR="0007736B" w:rsidRDefault="0007736B">
      <w:pPr>
        <w:pBdr>
          <w:bottom w:val="single" w:sz="4" w:space="1" w:color="C9A84C"/>
        </w:pBdr>
        <w:spacing w:before="160" w:after="160"/>
      </w:pPr>
    </w:p>
    <w:p w14:paraId="32622AEE" w14:textId="77777777" w:rsidR="0007736B" w:rsidRDefault="00000000">
      <w:pPr>
        <w:pStyle w:val="Heading1"/>
        <w:pBdr>
          <w:bottom w:val="single" w:sz="8" w:space="4" w:color="00778B"/>
        </w:pBdr>
      </w:pPr>
      <w:r>
        <w:t>Overview</w:t>
      </w:r>
    </w:p>
    <w:p w14:paraId="7B15BC7B" w14:textId="77777777" w:rsidR="0007736B" w:rsidRDefault="00000000">
      <w:pPr>
        <w:spacing w:before="80" w:after="80"/>
      </w:pPr>
      <w:r>
        <w:rPr>
          <w:color w:val="333333"/>
        </w:rPr>
        <w:t>For more than 40 years, TAS United has been the trusted partner for healthcare organizations that demand secure, compliant, and reliable patient communication. As call volumes grow and patient expectations evolve, TAS United has pioneered the integration of HIPAA-compliant AI agents alongside experienced live operators — creating a hybrid model that delivers superior outcomes without sacrificing the human touch.</w:t>
      </w:r>
    </w:p>
    <w:p w14:paraId="0BECBA97" w14:textId="77777777" w:rsidR="0007736B" w:rsidRDefault="0007736B"/>
    <w:p w14:paraId="13BEE8BB" w14:textId="77777777" w:rsidR="0007736B" w:rsidRDefault="00000000">
      <w:pPr>
        <w:spacing w:before="80" w:after="80"/>
      </w:pPr>
      <w:r>
        <w:rPr>
          <w:color w:val="333333"/>
        </w:rPr>
        <w:t>Our AI-Integrated Agent platform is purpose-built for the unique demands of medical answering services: 24/7 availability, intelligent call routing, reduced handle times, and seamless escalation to live agents for complex clinical situations. The result is a faster, smarter, and more cost-effective communication system for physician groups, health systems, specialty practices, and large hospital networks.</w:t>
      </w:r>
    </w:p>
    <w:p w14:paraId="1DF3186A" w14:textId="77777777" w:rsidR="0007736B" w:rsidRDefault="0007736B"/>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0"/>
        <w:gridCol w:w="3080"/>
        <w:gridCol w:w="3080"/>
      </w:tblGrid>
      <w:tr w:rsidR="0007736B" w14:paraId="379146CA" w14:textId="77777777">
        <w:tblPrEx>
          <w:tblCellMar>
            <w:top w:w="0" w:type="dxa"/>
            <w:bottom w:w="0" w:type="dxa"/>
          </w:tblCellMar>
        </w:tblPrEx>
        <w:tc>
          <w:tcPr>
            <w:tcW w:w="3080" w:type="dxa"/>
            <w:tcBorders>
              <w:top w:val="single" w:sz="1" w:space="0" w:color="CCCCCC"/>
              <w:left w:val="single" w:sz="1" w:space="0" w:color="CCCCCC"/>
              <w:bottom w:val="single" w:sz="1" w:space="0" w:color="CCCCCC"/>
              <w:right w:val="single" w:sz="1" w:space="0" w:color="CCCCCC"/>
            </w:tcBorders>
            <w:shd w:val="clear" w:color="auto" w:fill="1B2A4A"/>
            <w:tcMar>
              <w:top w:w="120" w:type="dxa"/>
              <w:left w:w="160" w:type="dxa"/>
              <w:bottom w:w="120" w:type="dxa"/>
              <w:right w:w="160" w:type="dxa"/>
            </w:tcMar>
            <w:vAlign w:val="center"/>
          </w:tcPr>
          <w:p w14:paraId="11FC631E" w14:textId="77777777" w:rsidR="0007736B" w:rsidRDefault="00000000">
            <w:pPr>
              <w:jc w:val="center"/>
            </w:pPr>
            <w:r>
              <w:rPr>
                <w:b/>
                <w:bCs/>
                <w:color w:val="C9A84C"/>
                <w:sz w:val="52"/>
                <w:szCs w:val="52"/>
              </w:rPr>
              <w:t>40+</w:t>
            </w:r>
          </w:p>
          <w:p w14:paraId="1A7329C0" w14:textId="77777777" w:rsidR="0007736B" w:rsidRDefault="00000000">
            <w:pPr>
              <w:jc w:val="center"/>
            </w:pPr>
            <w:r>
              <w:rPr>
                <w:b/>
                <w:bCs/>
                <w:color w:val="FFFFFF"/>
                <w:sz w:val="18"/>
                <w:szCs w:val="18"/>
              </w:rPr>
              <w:t>Years of Healthcare Experience</w:t>
            </w:r>
          </w:p>
          <w:p w14:paraId="4F1578E6" w14:textId="77777777" w:rsidR="0007736B" w:rsidRDefault="00000000">
            <w:pPr>
              <w:jc w:val="center"/>
            </w:pPr>
            <w:r>
              <w:rPr>
                <w:color w:val="E6F3F6"/>
                <w:sz w:val="16"/>
                <w:szCs w:val="16"/>
              </w:rPr>
              <w:t>Founded 1984</w:t>
            </w:r>
          </w:p>
        </w:tc>
        <w:tc>
          <w:tcPr>
            <w:tcW w:w="3080" w:type="dxa"/>
            <w:tcBorders>
              <w:top w:val="single" w:sz="1" w:space="0" w:color="CCCCCC"/>
              <w:left w:val="single" w:sz="1" w:space="0" w:color="CCCCCC"/>
              <w:bottom w:val="single" w:sz="1" w:space="0" w:color="CCCCCC"/>
              <w:right w:val="single" w:sz="1" w:space="0" w:color="CCCCCC"/>
            </w:tcBorders>
            <w:shd w:val="clear" w:color="auto" w:fill="1B2A4A"/>
            <w:tcMar>
              <w:top w:w="120" w:type="dxa"/>
              <w:left w:w="160" w:type="dxa"/>
              <w:bottom w:w="120" w:type="dxa"/>
              <w:right w:w="160" w:type="dxa"/>
            </w:tcMar>
            <w:vAlign w:val="center"/>
          </w:tcPr>
          <w:p w14:paraId="05CBFAB5" w14:textId="77777777" w:rsidR="0007736B" w:rsidRDefault="00000000">
            <w:pPr>
              <w:jc w:val="center"/>
            </w:pPr>
            <w:r>
              <w:rPr>
                <w:b/>
                <w:bCs/>
                <w:color w:val="C9A84C"/>
                <w:sz w:val="52"/>
                <w:szCs w:val="52"/>
              </w:rPr>
              <w:t>31,500+</w:t>
            </w:r>
          </w:p>
          <w:p w14:paraId="7D5D9B7C" w14:textId="77777777" w:rsidR="0007736B" w:rsidRDefault="00000000">
            <w:pPr>
              <w:jc w:val="center"/>
            </w:pPr>
            <w:r>
              <w:rPr>
                <w:b/>
                <w:bCs/>
                <w:color w:val="FFFFFF"/>
                <w:sz w:val="18"/>
                <w:szCs w:val="18"/>
              </w:rPr>
              <w:t>Calls Processed Monthly</w:t>
            </w:r>
          </w:p>
          <w:p w14:paraId="0B22EAEC" w14:textId="77777777" w:rsidR="0007736B" w:rsidRDefault="00000000">
            <w:pPr>
              <w:jc w:val="center"/>
            </w:pPr>
            <w:r>
              <w:rPr>
                <w:color w:val="E6F3F6"/>
                <w:sz w:val="16"/>
                <w:szCs w:val="16"/>
              </w:rPr>
              <w:t>Per major health system client</w:t>
            </w:r>
          </w:p>
        </w:tc>
        <w:tc>
          <w:tcPr>
            <w:tcW w:w="3080" w:type="dxa"/>
            <w:tcBorders>
              <w:top w:val="single" w:sz="1" w:space="0" w:color="CCCCCC"/>
              <w:left w:val="single" w:sz="1" w:space="0" w:color="CCCCCC"/>
              <w:bottom w:val="single" w:sz="1" w:space="0" w:color="CCCCCC"/>
              <w:right w:val="single" w:sz="1" w:space="0" w:color="CCCCCC"/>
            </w:tcBorders>
            <w:shd w:val="clear" w:color="auto" w:fill="1B2A4A"/>
            <w:tcMar>
              <w:top w:w="120" w:type="dxa"/>
              <w:left w:w="160" w:type="dxa"/>
              <w:bottom w:w="120" w:type="dxa"/>
              <w:right w:w="160" w:type="dxa"/>
            </w:tcMar>
            <w:vAlign w:val="center"/>
          </w:tcPr>
          <w:p w14:paraId="559B1169" w14:textId="77777777" w:rsidR="0007736B" w:rsidRDefault="00000000">
            <w:pPr>
              <w:jc w:val="center"/>
            </w:pPr>
            <w:r>
              <w:rPr>
                <w:b/>
                <w:bCs/>
                <w:color w:val="C9A84C"/>
                <w:sz w:val="52"/>
                <w:szCs w:val="52"/>
              </w:rPr>
              <w:t>36%</w:t>
            </w:r>
          </w:p>
          <w:p w14:paraId="38F7D365" w14:textId="77777777" w:rsidR="0007736B" w:rsidRDefault="00000000">
            <w:pPr>
              <w:jc w:val="center"/>
            </w:pPr>
            <w:r>
              <w:rPr>
                <w:b/>
                <w:bCs/>
                <w:color w:val="FFFFFF"/>
                <w:sz w:val="18"/>
                <w:szCs w:val="18"/>
              </w:rPr>
              <w:t>Average Handle Time Reduction</w:t>
            </w:r>
          </w:p>
          <w:p w14:paraId="167592E6" w14:textId="77777777" w:rsidR="0007736B" w:rsidRDefault="00000000">
            <w:pPr>
              <w:jc w:val="center"/>
            </w:pPr>
            <w:r>
              <w:rPr>
                <w:color w:val="E6F3F6"/>
                <w:sz w:val="16"/>
                <w:szCs w:val="16"/>
              </w:rPr>
              <w:t>3.83 min → 2.47 min</w:t>
            </w:r>
          </w:p>
        </w:tc>
      </w:tr>
    </w:tbl>
    <w:p w14:paraId="5B5586ED" w14:textId="77777777" w:rsidR="0007736B" w:rsidRDefault="0007736B"/>
    <w:p w14:paraId="7B26203D" w14:textId="77777777" w:rsidR="0007736B" w:rsidRDefault="0007736B">
      <w:pPr>
        <w:pBdr>
          <w:bottom w:val="single" w:sz="4" w:space="1" w:color="C9A84C"/>
        </w:pBdr>
        <w:spacing w:before="160" w:after="160"/>
      </w:pPr>
    </w:p>
    <w:p w14:paraId="00AFC4D1" w14:textId="77777777" w:rsidR="0007736B" w:rsidRDefault="00000000">
      <w:pPr>
        <w:pStyle w:val="Heading1"/>
        <w:pBdr>
          <w:bottom w:val="single" w:sz="8" w:space="4" w:color="00778B"/>
        </w:pBdr>
      </w:pPr>
      <w:r>
        <w:t>The Challenge Facing Healthcare Organizations</w:t>
      </w:r>
    </w:p>
    <w:p w14:paraId="721E34C1" w14:textId="77777777" w:rsidR="0007736B" w:rsidRDefault="00000000">
      <w:pPr>
        <w:spacing w:before="80" w:after="80"/>
      </w:pPr>
      <w:r>
        <w:rPr>
          <w:color w:val="333333"/>
        </w:rPr>
        <w:t>Medical practices and health systems today face a perfect storm of communication pressures:</w:t>
      </w:r>
    </w:p>
    <w:p w14:paraId="0BDABE1D" w14:textId="77777777" w:rsidR="0007736B" w:rsidRDefault="0007736B"/>
    <w:p w14:paraId="61BC1010" w14:textId="77777777" w:rsidR="0007736B" w:rsidRDefault="00000000">
      <w:pPr>
        <w:pStyle w:val="ListParagraph"/>
        <w:numPr>
          <w:ilvl w:val="0"/>
          <w:numId w:val="2"/>
        </w:numPr>
        <w:spacing w:before="60" w:after="60"/>
      </w:pPr>
      <w:r>
        <w:rPr>
          <w:color w:val="333333"/>
        </w:rPr>
        <w:t>Unprecedented after-hours call volumes driven by aging patient populations and expanded care networks</w:t>
      </w:r>
    </w:p>
    <w:p w14:paraId="06C11221" w14:textId="77777777" w:rsidR="0007736B" w:rsidRDefault="00000000">
      <w:pPr>
        <w:pStyle w:val="ListParagraph"/>
        <w:numPr>
          <w:ilvl w:val="0"/>
          <w:numId w:val="2"/>
        </w:numPr>
        <w:spacing w:before="60" w:after="60"/>
      </w:pPr>
      <w:r>
        <w:rPr>
          <w:color w:val="333333"/>
        </w:rPr>
        <w:t>Strict HIPAA and HITRUST compliance mandates that expose organizations to significant liability</w:t>
      </w:r>
    </w:p>
    <w:p w14:paraId="37E12713" w14:textId="77777777" w:rsidR="0007736B" w:rsidRDefault="00000000">
      <w:pPr>
        <w:pStyle w:val="ListParagraph"/>
        <w:numPr>
          <w:ilvl w:val="0"/>
          <w:numId w:val="2"/>
        </w:numPr>
        <w:spacing w:before="60" w:after="60"/>
      </w:pPr>
      <w:r>
        <w:rPr>
          <w:color w:val="333333"/>
        </w:rPr>
        <w:t>Staff shortages and burnout among front-office and after-hours answering service personnel</w:t>
      </w:r>
    </w:p>
    <w:p w14:paraId="53A4C863" w14:textId="77777777" w:rsidR="0007736B" w:rsidRDefault="00000000">
      <w:pPr>
        <w:pStyle w:val="ListParagraph"/>
        <w:numPr>
          <w:ilvl w:val="0"/>
          <w:numId w:val="2"/>
        </w:numPr>
        <w:spacing w:before="60" w:after="60"/>
      </w:pPr>
      <w:r>
        <w:rPr>
          <w:color w:val="333333"/>
        </w:rPr>
        <w:t>Patient dissatisfaction stemming from long hold times, dropped calls, and inconsistent triage protocols</w:t>
      </w:r>
    </w:p>
    <w:p w14:paraId="73A8588D" w14:textId="77777777" w:rsidR="0007736B" w:rsidRDefault="00000000">
      <w:pPr>
        <w:pStyle w:val="ListParagraph"/>
        <w:numPr>
          <w:ilvl w:val="0"/>
          <w:numId w:val="2"/>
        </w:numPr>
        <w:spacing w:before="60" w:after="60"/>
      </w:pPr>
      <w:r>
        <w:rPr>
          <w:color w:val="333333"/>
        </w:rPr>
        <w:t>Rising labor costs making traditional per-agent answering models increasingly expensive</w:t>
      </w:r>
    </w:p>
    <w:p w14:paraId="1C5A0A38" w14:textId="77777777" w:rsidR="0007736B" w:rsidRDefault="0007736B"/>
    <w:p w14:paraId="4546B686" w14:textId="77777777" w:rsidR="0007736B" w:rsidRDefault="00000000">
      <w:pPr>
        <w:spacing w:before="80" w:after="80"/>
      </w:pPr>
      <w:r>
        <w:rPr>
          <w:color w:val="333333"/>
        </w:rPr>
        <w:lastRenderedPageBreak/>
        <w:t>Legacy answering services — often generalist providers without healthcare-specific protocols — are no longer adequate. Healthcare organizations need a partner with deep clinical workflow expertise, enterprise-grade security, and the technology to scale intelligently.</w:t>
      </w:r>
    </w:p>
    <w:p w14:paraId="44D504A7" w14:textId="77777777" w:rsidR="0007736B" w:rsidRDefault="0007736B"/>
    <w:p w14:paraId="3B204991" w14:textId="77777777" w:rsidR="0007736B" w:rsidRDefault="0007736B">
      <w:pPr>
        <w:pBdr>
          <w:bottom w:val="single" w:sz="4" w:space="1" w:color="C9A84C"/>
        </w:pBdr>
        <w:spacing w:before="160" w:after="160"/>
      </w:pPr>
    </w:p>
    <w:p w14:paraId="60B323C7" w14:textId="77777777" w:rsidR="0007736B" w:rsidRDefault="00000000">
      <w:pPr>
        <w:pStyle w:val="Heading1"/>
        <w:pBdr>
          <w:bottom w:val="single" w:sz="8" w:space="4" w:color="00778B"/>
        </w:pBdr>
      </w:pPr>
      <w:r>
        <w:t>The TAS United AI-Integrated Agent Solution</w:t>
      </w:r>
    </w:p>
    <w:p w14:paraId="53707CE8" w14:textId="77777777" w:rsidR="0007736B" w:rsidRDefault="00000000">
      <w:pPr>
        <w:spacing w:before="80" w:after="80"/>
      </w:pPr>
      <w:r>
        <w:rPr>
          <w:color w:val="333333"/>
        </w:rPr>
        <w:t>TAS United's AI-Integrated Agent is not a replacement for human expertise — it is a force multiplier. Our hybrid model pairs certified live agents with intelligent AI automation to handle routine call types at scale while ensuring that complex, sensitive, or urgent patient interactions are escalated immediately to a trained specialist.</w:t>
      </w:r>
    </w:p>
    <w:p w14:paraId="1D74B48A" w14:textId="77777777" w:rsidR="0007736B" w:rsidRDefault="0007736B"/>
    <w:p w14:paraId="213EC6F6" w14:textId="77777777" w:rsidR="0007736B" w:rsidRDefault="00000000">
      <w:pPr>
        <w:pStyle w:val="Heading2"/>
      </w:pPr>
      <w:r>
        <w:t>How It Works</w:t>
      </w:r>
    </w:p>
    <w:p w14:paraId="00638105" w14:textId="77777777" w:rsidR="0007736B" w:rsidRDefault="00000000">
      <w:pPr>
        <w:pStyle w:val="ListParagraph"/>
        <w:numPr>
          <w:ilvl w:val="0"/>
          <w:numId w:val="2"/>
        </w:numPr>
        <w:spacing w:before="60" w:after="60"/>
      </w:pPr>
      <w:r>
        <w:rPr>
          <w:color w:val="333333"/>
        </w:rPr>
        <w:t>Incoming calls are intelligently classified by the AI layer based on urgency, caller intent, and call type (appointment requests, prescription refills, after-hours triage, nurse line, etc.)</w:t>
      </w:r>
    </w:p>
    <w:p w14:paraId="04595265" w14:textId="77777777" w:rsidR="0007736B" w:rsidRDefault="00000000">
      <w:pPr>
        <w:pStyle w:val="ListParagraph"/>
        <w:numPr>
          <w:ilvl w:val="0"/>
          <w:numId w:val="2"/>
        </w:numPr>
        <w:spacing w:before="60" w:after="60"/>
      </w:pPr>
      <w:r>
        <w:rPr>
          <w:color w:val="333333"/>
        </w:rPr>
        <w:t>Routine and administrative inquiries — such as hours, directions, appointment confirmations, and prescription routing — are resolved by the AI agent with natural language interaction</w:t>
      </w:r>
    </w:p>
    <w:p w14:paraId="71BA9B4C" w14:textId="77777777" w:rsidR="0007736B" w:rsidRDefault="00000000">
      <w:pPr>
        <w:pStyle w:val="ListParagraph"/>
        <w:numPr>
          <w:ilvl w:val="0"/>
          <w:numId w:val="2"/>
        </w:numPr>
        <w:spacing w:before="60" w:after="60"/>
      </w:pPr>
      <w:r>
        <w:rPr>
          <w:color w:val="333333"/>
        </w:rPr>
        <w:t>Clinical triage calls and urgent patient concerns are seamlessly transferred to a live TAS United agent, ensuring no patient is left without human support when it matters most</w:t>
      </w:r>
    </w:p>
    <w:p w14:paraId="1EE49A13" w14:textId="77777777" w:rsidR="0007736B" w:rsidRDefault="00000000">
      <w:pPr>
        <w:pStyle w:val="ListParagraph"/>
        <w:numPr>
          <w:ilvl w:val="0"/>
          <w:numId w:val="2"/>
        </w:numPr>
        <w:spacing w:before="60" w:after="60"/>
      </w:pPr>
      <w:r>
        <w:rPr>
          <w:color w:val="333333"/>
        </w:rPr>
        <w:t>All interactions are documented, encrypted, and delivered through HIPAA-compliant secure messaging channels (including integration with platforms such as Halo and similar secure messaging systems)</w:t>
      </w:r>
    </w:p>
    <w:p w14:paraId="42F787F8" w14:textId="77777777" w:rsidR="0007736B" w:rsidRDefault="00000000">
      <w:pPr>
        <w:pStyle w:val="ListParagraph"/>
        <w:numPr>
          <w:ilvl w:val="0"/>
          <w:numId w:val="2"/>
        </w:numPr>
        <w:spacing w:before="60" w:after="60"/>
      </w:pPr>
      <w:r>
        <w:rPr>
          <w:color w:val="333333"/>
        </w:rPr>
        <w:t>Real-time call reporting and KPI dashboards give healthcare administrators full visibility into performance metrics</w:t>
      </w:r>
    </w:p>
    <w:p w14:paraId="2D28105C" w14:textId="77777777" w:rsidR="0007736B" w:rsidRDefault="0007736B"/>
    <w:p w14:paraId="75085609" w14:textId="77777777" w:rsidR="0007736B" w:rsidRDefault="00000000">
      <w:pPr>
        <w:pStyle w:val="Heading2"/>
      </w:pPr>
      <w:r>
        <w:t>Key Capabilities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8640"/>
      </w:tblGrid>
      <w:tr w:rsidR="0007736B" w14:paraId="575AA4D4"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5BD99573"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4547321F" w14:textId="77777777" w:rsidR="0007736B" w:rsidRDefault="00000000">
            <w:r>
              <w:rPr>
                <w:color w:val="333333"/>
                <w:sz w:val="21"/>
                <w:szCs w:val="21"/>
              </w:rPr>
              <w:t>Natural language AI handles routine patient inquiries 24/7/365 without hold time</w:t>
            </w:r>
          </w:p>
        </w:tc>
      </w:tr>
      <w:tr w:rsidR="0007736B" w14:paraId="3B7EFD8D"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4B72437D"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7993F084" w14:textId="77777777" w:rsidR="0007736B" w:rsidRDefault="00000000">
            <w:r>
              <w:rPr>
                <w:color w:val="333333"/>
                <w:sz w:val="21"/>
                <w:szCs w:val="21"/>
              </w:rPr>
              <w:t>Intelligent escalation protocols ensure urgent and clinical calls always reach a live agent</w:t>
            </w:r>
          </w:p>
        </w:tc>
      </w:tr>
      <w:tr w:rsidR="0007736B" w14:paraId="763C4CDE"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11D1DEF8"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3B639447" w14:textId="77777777" w:rsidR="0007736B" w:rsidRDefault="00000000">
            <w:r>
              <w:rPr>
                <w:color w:val="333333"/>
                <w:sz w:val="21"/>
                <w:szCs w:val="21"/>
              </w:rPr>
              <w:t>Seamless integration with on-call scheduling platforms, EHR systems, and secure messaging apps</w:t>
            </w:r>
          </w:p>
        </w:tc>
      </w:tr>
      <w:tr w:rsidR="0007736B" w14:paraId="57DE122E"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025DE221"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66B8BAAB" w14:textId="77777777" w:rsidR="0007736B" w:rsidRDefault="00000000">
            <w:r>
              <w:rPr>
                <w:color w:val="333333"/>
                <w:sz w:val="21"/>
                <w:szCs w:val="21"/>
              </w:rPr>
              <w:t>Bilingual English/Spanish capability serving diverse patient populations across all regions</w:t>
            </w:r>
          </w:p>
        </w:tc>
      </w:tr>
      <w:tr w:rsidR="0007736B" w14:paraId="3ACCA4BE"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7D6C5A4E"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40D15C3F" w14:textId="77777777" w:rsidR="0007736B" w:rsidRDefault="00000000">
            <w:r>
              <w:rPr>
                <w:color w:val="333333"/>
                <w:sz w:val="21"/>
                <w:szCs w:val="21"/>
              </w:rPr>
              <w:t>HITRUST-certified infrastructure protecting all patient data at rest and in transit</w:t>
            </w:r>
          </w:p>
        </w:tc>
      </w:tr>
      <w:tr w:rsidR="0007736B" w14:paraId="26B0EC92"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57D8EE47"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383A1128" w14:textId="77777777" w:rsidR="0007736B" w:rsidRDefault="00000000">
            <w:r>
              <w:rPr>
                <w:color w:val="333333"/>
                <w:sz w:val="21"/>
                <w:szCs w:val="21"/>
              </w:rPr>
              <w:t>Omnichannel communication: voice, secure text, email, and portal-based message delivery</w:t>
            </w:r>
          </w:p>
        </w:tc>
      </w:tr>
      <w:tr w:rsidR="0007736B" w14:paraId="0175DB7E"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6C7069FD"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2F9EFDA8" w14:textId="77777777" w:rsidR="0007736B" w:rsidRDefault="00000000">
            <w:r>
              <w:rPr>
                <w:color w:val="333333"/>
                <w:sz w:val="21"/>
                <w:szCs w:val="21"/>
              </w:rPr>
              <w:t>Customizable call scripts and workflows built around each practice's unique protocols</w:t>
            </w:r>
          </w:p>
        </w:tc>
      </w:tr>
    </w:tbl>
    <w:p w14:paraId="217232DD" w14:textId="77777777" w:rsidR="0007736B" w:rsidRDefault="0007736B"/>
    <w:p w14:paraId="351603B5" w14:textId="77777777" w:rsidR="0007736B" w:rsidRDefault="0007736B">
      <w:pPr>
        <w:pBdr>
          <w:bottom w:val="single" w:sz="4" w:space="1" w:color="C9A84C"/>
        </w:pBdr>
        <w:spacing w:before="160" w:after="160"/>
      </w:pPr>
    </w:p>
    <w:p w14:paraId="7A625B2F" w14:textId="77777777" w:rsidR="00121D12" w:rsidRDefault="00121D12">
      <w:pPr>
        <w:pStyle w:val="Heading1"/>
        <w:pBdr>
          <w:bottom w:val="single" w:sz="8" w:space="4" w:color="00778B"/>
        </w:pBdr>
      </w:pPr>
    </w:p>
    <w:p w14:paraId="0580BAED" w14:textId="77777777" w:rsidR="00121D12" w:rsidRDefault="00121D12">
      <w:pPr>
        <w:pStyle w:val="Heading1"/>
        <w:pBdr>
          <w:bottom w:val="single" w:sz="8" w:space="4" w:color="00778B"/>
        </w:pBdr>
      </w:pPr>
    </w:p>
    <w:p w14:paraId="2898F74E" w14:textId="2A51218C" w:rsidR="0007736B" w:rsidRDefault="00000000">
      <w:pPr>
        <w:pStyle w:val="Heading1"/>
        <w:pBdr>
          <w:bottom w:val="single" w:sz="8" w:space="4" w:color="00778B"/>
        </w:pBdr>
      </w:pPr>
      <w:r>
        <w:t xml:space="preserve">Case Study: </w:t>
      </w:r>
      <w:proofErr w:type="spellStart"/>
      <w:r>
        <w:t>WellMed</w:t>
      </w:r>
      <w:proofErr w:type="spellEnd"/>
      <w:r>
        <w:t xml:space="preserve"> — A National Healthcare Network</w:t>
      </w:r>
    </w:p>
    <w:p w14:paraId="0F54448B" w14:textId="77777777" w:rsidR="0007736B" w:rsidRDefault="00000000">
      <w:pPr>
        <w:shd w:val="clear" w:color="auto" w:fill="E6F3F6"/>
        <w:spacing w:before="80" w:after="80"/>
        <w:ind w:left="180" w:right="180"/>
      </w:pPr>
      <w:r>
        <w:rPr>
          <w:i/>
          <w:iCs/>
          <w:color w:val="1B2A4A"/>
        </w:rPr>
        <w:t xml:space="preserve">TAS United has served as the official call processing partner for all </w:t>
      </w:r>
      <w:proofErr w:type="spellStart"/>
      <w:r>
        <w:rPr>
          <w:i/>
          <w:iCs/>
          <w:color w:val="1B2A4A"/>
        </w:rPr>
        <w:t>WellMed</w:t>
      </w:r>
      <w:proofErr w:type="spellEnd"/>
      <w:r>
        <w:rPr>
          <w:i/>
          <w:iCs/>
          <w:color w:val="1B2A4A"/>
        </w:rPr>
        <w:t xml:space="preserve"> locations nationwide since 2020, including USMD, Homecare Dimensions, and Optum Miami.</w:t>
      </w:r>
    </w:p>
    <w:p w14:paraId="2ED6321F" w14:textId="77777777" w:rsidR="0007736B" w:rsidRDefault="0007736B"/>
    <w:p w14:paraId="6A4D9222" w14:textId="77777777" w:rsidR="0007736B" w:rsidRDefault="00000000">
      <w:pPr>
        <w:spacing w:before="80" w:after="80"/>
      </w:pPr>
      <w:r>
        <w:rPr>
          <w:color w:val="333333"/>
        </w:rPr>
        <w:t xml:space="preserve">TAS United developed a custom integration between its Amtelco Genesis platform and </w:t>
      </w:r>
      <w:proofErr w:type="spellStart"/>
      <w:r>
        <w:rPr>
          <w:color w:val="333333"/>
        </w:rPr>
        <w:t>WellMed's</w:t>
      </w:r>
      <w:proofErr w:type="spellEnd"/>
      <w:r>
        <w:rPr>
          <w:color w:val="333333"/>
        </w:rPr>
        <w:t xml:space="preserve"> Halo secure messaging system. This created a real-time encrypted message delivery channel directly to on-call providers — with two-way communication capability so providers could respond, ask questions, or reroute messages without leaving a single platform.</w:t>
      </w:r>
    </w:p>
    <w:p w14:paraId="3CEC13C2" w14:textId="77777777" w:rsidR="0007736B" w:rsidRDefault="0007736B"/>
    <w:p w14:paraId="47BEBCC3" w14:textId="77777777" w:rsidR="0007736B" w:rsidRDefault="00000000">
      <w:pPr>
        <w:pStyle w:val="Heading2"/>
      </w:pPr>
      <w:r>
        <w:t>Measurable Results</w:t>
      </w:r>
    </w:p>
    <w:p w14:paraId="7B5C6305" w14:textId="77777777" w:rsidR="0007736B" w:rsidRDefault="00000000">
      <w:pPr>
        <w:pStyle w:val="ListParagraph"/>
        <w:numPr>
          <w:ilvl w:val="0"/>
          <w:numId w:val="2"/>
        </w:numPr>
        <w:spacing w:before="60" w:after="60"/>
      </w:pPr>
      <w:r>
        <w:rPr>
          <w:color w:val="333333"/>
        </w:rPr>
        <w:t xml:space="preserve">31,500+ </w:t>
      </w:r>
      <w:proofErr w:type="spellStart"/>
      <w:r>
        <w:rPr>
          <w:color w:val="333333"/>
        </w:rPr>
        <w:t>WellMed</w:t>
      </w:r>
      <w:proofErr w:type="spellEnd"/>
      <w:r>
        <w:rPr>
          <w:color w:val="333333"/>
        </w:rPr>
        <w:t xml:space="preserve"> calls processed per month for 1,596+ providers across all locations</w:t>
      </w:r>
    </w:p>
    <w:p w14:paraId="224FC362" w14:textId="77777777" w:rsidR="0007736B" w:rsidRDefault="00000000">
      <w:pPr>
        <w:pStyle w:val="ListParagraph"/>
        <w:numPr>
          <w:ilvl w:val="0"/>
          <w:numId w:val="2"/>
        </w:numPr>
        <w:spacing w:before="60" w:after="60"/>
      </w:pPr>
      <w:proofErr w:type="gramStart"/>
      <w:r>
        <w:rPr>
          <w:color w:val="333333"/>
        </w:rPr>
        <w:t>Call handle</w:t>
      </w:r>
      <w:proofErr w:type="gramEnd"/>
      <w:r>
        <w:rPr>
          <w:color w:val="333333"/>
        </w:rPr>
        <w:t xml:space="preserve"> time reduced from 3.83 minutes to 2.47 minutes — a 36% improvement</w:t>
      </w:r>
    </w:p>
    <w:p w14:paraId="69075726" w14:textId="77777777" w:rsidR="0007736B" w:rsidRDefault="00000000">
      <w:pPr>
        <w:pStyle w:val="ListParagraph"/>
        <w:numPr>
          <w:ilvl w:val="0"/>
          <w:numId w:val="2"/>
        </w:numPr>
        <w:spacing w:before="60" w:after="60"/>
      </w:pPr>
      <w:r>
        <w:rPr>
          <w:color w:val="333333"/>
        </w:rPr>
        <w:t>Service levels consistently exceed the client-mandated 80% threshold</w:t>
      </w:r>
    </w:p>
    <w:p w14:paraId="59A730C2" w14:textId="77777777" w:rsidR="0007736B" w:rsidRDefault="00000000">
      <w:pPr>
        <w:pStyle w:val="ListParagraph"/>
        <w:numPr>
          <w:ilvl w:val="0"/>
          <w:numId w:val="2"/>
        </w:numPr>
        <w:spacing w:before="60" w:after="60"/>
      </w:pPr>
      <w:r>
        <w:rPr>
          <w:color w:val="333333"/>
        </w:rPr>
        <w:t xml:space="preserve">Average speed to answer maintained well below </w:t>
      </w:r>
      <w:proofErr w:type="spellStart"/>
      <w:r>
        <w:rPr>
          <w:color w:val="333333"/>
        </w:rPr>
        <w:t>WellMed's</w:t>
      </w:r>
      <w:proofErr w:type="spellEnd"/>
      <w:r>
        <w:rPr>
          <w:color w:val="333333"/>
        </w:rPr>
        <w:t xml:space="preserve"> 30-second requirement</w:t>
      </w:r>
    </w:p>
    <w:p w14:paraId="7E066827" w14:textId="77777777" w:rsidR="0007736B" w:rsidRDefault="00000000">
      <w:pPr>
        <w:pStyle w:val="ListParagraph"/>
        <w:numPr>
          <w:ilvl w:val="0"/>
          <w:numId w:val="2"/>
        </w:numPr>
        <w:spacing w:before="60" w:after="60"/>
      </w:pPr>
      <w:r>
        <w:rPr>
          <w:color w:val="333333"/>
        </w:rPr>
        <w:t xml:space="preserve">Monthly performance review meetings ensure continuous alignment with </w:t>
      </w:r>
      <w:proofErr w:type="spellStart"/>
      <w:r>
        <w:rPr>
          <w:color w:val="333333"/>
        </w:rPr>
        <w:t>WellMed</w:t>
      </w:r>
      <w:proofErr w:type="spellEnd"/>
      <w:r>
        <w:rPr>
          <w:color w:val="333333"/>
        </w:rPr>
        <w:t xml:space="preserve"> leadership KPIs</w:t>
      </w:r>
    </w:p>
    <w:p w14:paraId="56D68CAA" w14:textId="77777777" w:rsidR="0007736B" w:rsidRDefault="0007736B"/>
    <w:p w14:paraId="7FDF3031" w14:textId="77777777" w:rsidR="0007736B" w:rsidRDefault="0007736B">
      <w:pPr>
        <w:pBdr>
          <w:bottom w:val="single" w:sz="4" w:space="1" w:color="C9A84C"/>
        </w:pBdr>
        <w:spacing w:before="160" w:after="160"/>
      </w:pPr>
    </w:p>
    <w:p w14:paraId="3048D138" w14:textId="77777777" w:rsidR="0007736B" w:rsidRDefault="00000000">
      <w:pPr>
        <w:pStyle w:val="Heading1"/>
        <w:pBdr>
          <w:bottom w:val="single" w:sz="8" w:space="4" w:color="00778B"/>
        </w:pBdr>
      </w:pPr>
      <w:r>
        <w:t>HITRUST Certification: Your Compliance Shield</w:t>
      </w:r>
    </w:p>
    <w:p w14:paraId="748F3046" w14:textId="77777777" w:rsidR="0007736B" w:rsidRDefault="00000000">
      <w:pPr>
        <w:spacing w:before="80" w:after="80"/>
      </w:pPr>
      <w:r>
        <w:rPr>
          <w:color w:val="333333"/>
        </w:rPr>
        <w:t>In an era of escalating healthcare data breaches, HITRUST certification is no longer a differentiator — it is a procurement requirement for healthcare organizations serious about protecting patient data and managing legal exposure.</w:t>
      </w:r>
    </w:p>
    <w:p w14:paraId="343BF2F4" w14:textId="77777777" w:rsidR="0007736B" w:rsidRDefault="0007736B"/>
    <w:p w14:paraId="7AE4487D" w14:textId="77777777" w:rsidR="0007736B" w:rsidRDefault="00000000">
      <w:pPr>
        <w:pStyle w:val="ListParagraph"/>
        <w:numPr>
          <w:ilvl w:val="0"/>
          <w:numId w:val="2"/>
        </w:numPr>
        <w:spacing w:before="60" w:after="60"/>
      </w:pPr>
      <w:r>
        <w:rPr>
          <w:color w:val="333333"/>
        </w:rPr>
        <w:t>TAS United's HITRUST certification demonstrates a proactive, audited approach to data security and HIPAA compliance — providing evidence of due diligence in the event of a legal challenge or regulatory audit</w:t>
      </w:r>
    </w:p>
    <w:p w14:paraId="22BDD90D" w14:textId="77777777" w:rsidR="0007736B" w:rsidRDefault="00000000">
      <w:pPr>
        <w:pStyle w:val="ListParagraph"/>
        <w:numPr>
          <w:ilvl w:val="0"/>
          <w:numId w:val="2"/>
        </w:numPr>
        <w:spacing w:before="60" w:after="60"/>
      </w:pPr>
      <w:r>
        <w:rPr>
          <w:color w:val="333333"/>
        </w:rPr>
        <w:t>HITRUST-certified infrastructure enables TAS United to be a covered entity business associate, meeting the contractual and regulatory requirements of major health systems and physician groups</w:t>
      </w:r>
    </w:p>
    <w:p w14:paraId="683C8217" w14:textId="77777777" w:rsidR="0007736B" w:rsidRDefault="00000000">
      <w:pPr>
        <w:pStyle w:val="ListParagraph"/>
        <w:numPr>
          <w:ilvl w:val="0"/>
          <w:numId w:val="2"/>
        </w:numPr>
        <w:spacing w:before="60" w:after="60"/>
      </w:pPr>
      <w:r>
        <w:rPr>
          <w:color w:val="333333"/>
        </w:rPr>
        <w:t>Our certification encompasses our technology infrastructure, facilities, and operational protocols — not just a software layer</w:t>
      </w:r>
    </w:p>
    <w:p w14:paraId="7457994C" w14:textId="77777777" w:rsidR="0007736B" w:rsidRDefault="00000000">
      <w:pPr>
        <w:pStyle w:val="ListParagraph"/>
        <w:numPr>
          <w:ilvl w:val="0"/>
          <w:numId w:val="2"/>
        </w:numPr>
        <w:spacing w:before="60" w:after="60"/>
      </w:pPr>
      <w:r>
        <w:rPr>
          <w:color w:val="333333"/>
        </w:rPr>
        <w:t>Organizations partnering with TAS United inherit a documented, defensible compliance posture that reduces their own liability exposure</w:t>
      </w:r>
    </w:p>
    <w:p w14:paraId="5FA0FCDB" w14:textId="77777777" w:rsidR="0007736B" w:rsidRDefault="0007736B"/>
    <w:p w14:paraId="3E114E53" w14:textId="77777777" w:rsidR="0007736B" w:rsidRDefault="00000000">
      <w:pPr>
        <w:shd w:val="clear" w:color="auto" w:fill="1B2A4A"/>
        <w:spacing w:before="100" w:after="100"/>
        <w:ind w:left="240" w:right="240"/>
        <w:jc w:val="center"/>
      </w:pPr>
      <w:r>
        <w:rPr>
          <w:b/>
          <w:bCs/>
          <w:color w:val="C9A84C"/>
        </w:rPr>
        <w:t>TAS United is one of a very limited number of telephone answering services in the United States to achieve HITRUST certification.</w:t>
      </w:r>
    </w:p>
    <w:p w14:paraId="38F6AE27" w14:textId="77777777" w:rsidR="0007736B" w:rsidRDefault="0007736B"/>
    <w:p w14:paraId="6A83EC80" w14:textId="77777777" w:rsidR="0007736B" w:rsidRDefault="0007736B">
      <w:pPr>
        <w:pBdr>
          <w:bottom w:val="single" w:sz="4" w:space="1" w:color="C9A84C"/>
        </w:pBdr>
        <w:spacing w:before="160" w:after="160"/>
      </w:pPr>
    </w:p>
    <w:p w14:paraId="6214DEA3" w14:textId="77777777" w:rsidR="0007736B" w:rsidRDefault="00000000">
      <w:pPr>
        <w:pStyle w:val="Heading1"/>
        <w:pBdr>
          <w:bottom w:val="single" w:sz="8" w:space="4" w:color="00778B"/>
        </w:pBdr>
      </w:pPr>
      <w:r>
        <w:lastRenderedPageBreak/>
        <w:t>Healthcare-Exclusive Experience</w:t>
      </w:r>
    </w:p>
    <w:p w14:paraId="55AE01E2" w14:textId="77777777" w:rsidR="0007736B" w:rsidRDefault="00000000">
      <w:pPr>
        <w:spacing w:before="80" w:after="80"/>
      </w:pPr>
      <w:r>
        <w:rPr>
          <w:color w:val="333333"/>
        </w:rPr>
        <w:t>Unlike generalist call centers that treat healthcare as one vertical among many, TAS United has been healthcare-exclusive for over four decades. Our agents are trained specifically for medical environments — understanding clinical urgency, HIPAA protocols, on-call scheduling complexity, and the sensitivity required when speaking with patients in distress.</w:t>
      </w:r>
    </w:p>
    <w:p w14:paraId="0F8B1FCF" w14:textId="77777777" w:rsidR="0007736B" w:rsidRDefault="0007736B"/>
    <w:p w14:paraId="67500078" w14:textId="77777777" w:rsidR="0007736B" w:rsidRDefault="00000000">
      <w:pPr>
        <w:pStyle w:val="ListParagraph"/>
        <w:numPr>
          <w:ilvl w:val="0"/>
          <w:numId w:val="2"/>
        </w:numPr>
        <w:spacing w:before="60" w:after="60"/>
      </w:pPr>
      <w:r>
        <w:rPr>
          <w:color w:val="333333"/>
        </w:rPr>
        <w:t>Active partnerships with multiple medical societies throughout Texas</w:t>
      </w:r>
    </w:p>
    <w:p w14:paraId="032EE53F" w14:textId="77777777" w:rsidR="0007736B" w:rsidRDefault="00000000">
      <w:pPr>
        <w:pStyle w:val="ListParagraph"/>
        <w:numPr>
          <w:ilvl w:val="0"/>
          <w:numId w:val="2"/>
        </w:numPr>
        <w:spacing w:before="60" w:after="60"/>
      </w:pPr>
      <w:r>
        <w:rPr>
          <w:color w:val="333333"/>
        </w:rPr>
        <w:t>Trusted by over 1,900 healthcare accounts including Baylor Scott &amp; White, Covenant Health, St. David's Hospital, Seton Hospital, UT Health, Austin Regional Clinic, Arkansas Heart Hospital, Texas Tech University Health Science Center, and Methodist Hospital</w:t>
      </w:r>
    </w:p>
    <w:p w14:paraId="391D59B6" w14:textId="77777777" w:rsidR="0007736B" w:rsidRDefault="00000000">
      <w:pPr>
        <w:pStyle w:val="ListParagraph"/>
        <w:numPr>
          <w:ilvl w:val="0"/>
          <w:numId w:val="2"/>
        </w:numPr>
        <w:spacing w:before="60" w:after="60"/>
      </w:pPr>
      <w:r>
        <w:rPr>
          <w:color w:val="333333"/>
        </w:rPr>
        <w:t>Dedicated healthcare-only agents — our team is never pulled to serve non-medical accounts</w:t>
      </w:r>
    </w:p>
    <w:p w14:paraId="36075AF6" w14:textId="77777777" w:rsidR="0007736B" w:rsidRDefault="00000000">
      <w:pPr>
        <w:pStyle w:val="ListParagraph"/>
        <w:numPr>
          <w:ilvl w:val="0"/>
          <w:numId w:val="2"/>
        </w:numPr>
        <w:spacing w:before="60" w:after="60"/>
      </w:pPr>
      <w:r>
        <w:rPr>
          <w:color w:val="333333"/>
        </w:rPr>
        <w:t>Nurse on Demand program available for clinical triage support</w:t>
      </w:r>
    </w:p>
    <w:p w14:paraId="5339508E" w14:textId="77777777" w:rsidR="0007736B" w:rsidRDefault="00000000">
      <w:pPr>
        <w:pStyle w:val="ListParagraph"/>
        <w:numPr>
          <w:ilvl w:val="0"/>
          <w:numId w:val="2"/>
        </w:numPr>
        <w:spacing w:before="60" w:after="60"/>
      </w:pPr>
      <w:r>
        <w:rPr>
          <w:color w:val="333333"/>
        </w:rPr>
        <w:t>Bilingual English/Spanish staffing serving diverse patient populations across Texas, Puerto Rico, and beyond</w:t>
      </w:r>
    </w:p>
    <w:p w14:paraId="58D43279" w14:textId="77777777" w:rsidR="0007736B" w:rsidRDefault="0007736B"/>
    <w:p w14:paraId="5FA13275" w14:textId="77777777" w:rsidR="0007736B" w:rsidRDefault="0007736B">
      <w:pPr>
        <w:pBdr>
          <w:bottom w:val="single" w:sz="4" w:space="1" w:color="C9A84C"/>
        </w:pBdr>
        <w:spacing w:before="160" w:after="160"/>
      </w:pPr>
    </w:p>
    <w:p w14:paraId="46199EED" w14:textId="77777777" w:rsidR="0007736B" w:rsidRDefault="00000000">
      <w:pPr>
        <w:pStyle w:val="Heading1"/>
        <w:pBdr>
          <w:bottom w:val="single" w:sz="8" w:space="4" w:color="00778B"/>
        </w:pBdr>
      </w:pPr>
      <w:r>
        <w:t>Service Model &amp; Financial Structure</w:t>
      </w:r>
    </w:p>
    <w:p w14:paraId="5FF2BD91" w14:textId="77777777" w:rsidR="0007736B" w:rsidRDefault="00000000">
      <w:pPr>
        <w:spacing w:before="80" w:after="80"/>
      </w:pPr>
      <w:r>
        <w:rPr>
          <w:color w:val="333333"/>
        </w:rPr>
        <w:t>TAS United offers flexible engagement models designed to match the operational needs and budget requirements of healthcare organizations of all sizes.</w:t>
      </w:r>
    </w:p>
    <w:p w14:paraId="7E5F4AD9" w14:textId="77777777" w:rsidR="0007736B" w:rsidRDefault="0007736B"/>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80"/>
        <w:gridCol w:w="4760"/>
        <w:gridCol w:w="2400"/>
      </w:tblGrid>
      <w:tr w:rsidR="0007736B" w14:paraId="0C2B6326" w14:textId="77777777">
        <w:tblPrEx>
          <w:tblCellMar>
            <w:top w:w="0" w:type="dxa"/>
            <w:bottom w:w="0" w:type="dxa"/>
          </w:tblCellMar>
        </w:tblPrEx>
        <w:tc>
          <w:tcPr>
            <w:tcW w:w="208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20" w:type="dxa"/>
              <w:bottom w:w="100" w:type="dxa"/>
              <w:right w:w="120" w:type="dxa"/>
            </w:tcMar>
            <w:vAlign w:val="center"/>
          </w:tcPr>
          <w:p w14:paraId="28C76B9B" w14:textId="77777777" w:rsidR="0007736B" w:rsidRDefault="00000000">
            <w:pPr>
              <w:jc w:val="center"/>
            </w:pPr>
            <w:r>
              <w:rPr>
                <w:b/>
                <w:bCs/>
                <w:color w:val="FFFFFF"/>
                <w:sz w:val="20"/>
                <w:szCs w:val="20"/>
              </w:rPr>
              <w:t>Service Tier</w:t>
            </w:r>
          </w:p>
        </w:tc>
        <w:tc>
          <w:tcPr>
            <w:tcW w:w="476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20" w:type="dxa"/>
              <w:bottom w:w="100" w:type="dxa"/>
              <w:right w:w="120" w:type="dxa"/>
            </w:tcMar>
          </w:tcPr>
          <w:p w14:paraId="0577EE0E" w14:textId="77777777" w:rsidR="0007736B" w:rsidRDefault="00000000">
            <w:r>
              <w:rPr>
                <w:b/>
                <w:bCs/>
                <w:color w:val="FFFFFF"/>
                <w:sz w:val="20"/>
                <w:szCs w:val="20"/>
              </w:rPr>
              <w:t>Description</w:t>
            </w:r>
          </w:p>
        </w:tc>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20" w:type="dxa"/>
              <w:bottom w:w="100" w:type="dxa"/>
              <w:right w:w="120" w:type="dxa"/>
            </w:tcMar>
          </w:tcPr>
          <w:p w14:paraId="64F45345" w14:textId="77777777" w:rsidR="0007736B" w:rsidRDefault="00000000">
            <w:pPr>
              <w:jc w:val="center"/>
            </w:pPr>
            <w:r>
              <w:rPr>
                <w:b/>
                <w:bCs/>
                <w:color w:val="FFFFFF"/>
                <w:sz w:val="20"/>
                <w:szCs w:val="20"/>
              </w:rPr>
              <w:t>Billing Model</w:t>
            </w:r>
          </w:p>
        </w:tc>
      </w:tr>
      <w:tr w:rsidR="0007736B" w14:paraId="13567C54" w14:textId="77777777">
        <w:tblPrEx>
          <w:tblCellMar>
            <w:top w:w="0" w:type="dxa"/>
            <w:bottom w:w="0" w:type="dxa"/>
          </w:tblCellMar>
        </w:tblPrEx>
        <w:tc>
          <w:tcPr>
            <w:tcW w:w="2080" w:type="dxa"/>
            <w:tcBorders>
              <w:top w:val="single" w:sz="1" w:space="0" w:color="CCCCCC"/>
              <w:left w:val="single" w:sz="1" w:space="0" w:color="CCCCCC"/>
              <w:bottom w:val="single" w:sz="1" w:space="0" w:color="CCCCCC"/>
              <w:right w:val="single" w:sz="1" w:space="0" w:color="CCCCCC"/>
            </w:tcBorders>
            <w:shd w:val="clear" w:color="auto" w:fill="E6F3F6"/>
            <w:tcMar>
              <w:top w:w="80" w:type="dxa"/>
              <w:left w:w="120" w:type="dxa"/>
              <w:bottom w:w="80" w:type="dxa"/>
              <w:right w:w="120" w:type="dxa"/>
            </w:tcMar>
            <w:vAlign w:val="center"/>
          </w:tcPr>
          <w:p w14:paraId="77875D8D" w14:textId="77777777" w:rsidR="0007736B" w:rsidRDefault="00000000">
            <w:pPr>
              <w:jc w:val="center"/>
            </w:pPr>
            <w:r>
              <w:rPr>
                <w:b/>
                <w:bCs/>
                <w:color w:val="1B2A4A"/>
                <w:sz w:val="20"/>
                <w:szCs w:val="20"/>
              </w:rPr>
              <w:t>Shared Environment</w:t>
            </w:r>
          </w:p>
        </w:tc>
        <w:tc>
          <w:tcPr>
            <w:tcW w:w="4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CE5A2" w14:textId="77777777" w:rsidR="0007736B" w:rsidRDefault="00000000">
            <w:r>
              <w:rPr>
                <w:color w:val="333333"/>
                <w:sz w:val="20"/>
                <w:szCs w:val="20"/>
              </w:rPr>
              <w:t>Calls routed to a pool of healthcare-trained agents serving multiple clients. Includes AI agent layer for routine inquiry resolution.</w:t>
            </w:r>
          </w:p>
        </w:tc>
        <w:tc>
          <w:tcPr>
            <w:tcW w:w="2400" w:type="dxa"/>
            <w:tcBorders>
              <w:top w:val="single" w:sz="1" w:space="0" w:color="CCCCCC"/>
              <w:left w:val="single" w:sz="1" w:space="0" w:color="CCCCCC"/>
              <w:bottom w:val="single" w:sz="1" w:space="0" w:color="CCCCCC"/>
              <w:right w:val="single" w:sz="1" w:space="0" w:color="CCCCCC"/>
            </w:tcBorders>
            <w:shd w:val="clear" w:color="auto" w:fill="E6F3F6"/>
            <w:tcMar>
              <w:top w:w="80" w:type="dxa"/>
              <w:left w:w="120" w:type="dxa"/>
              <w:bottom w:w="80" w:type="dxa"/>
              <w:right w:w="120" w:type="dxa"/>
            </w:tcMar>
            <w:vAlign w:val="center"/>
          </w:tcPr>
          <w:p w14:paraId="32A2319F" w14:textId="77777777" w:rsidR="0007736B" w:rsidRDefault="00000000">
            <w:pPr>
              <w:jc w:val="center"/>
            </w:pPr>
            <w:r>
              <w:rPr>
                <w:b/>
                <w:bCs/>
                <w:color w:val="00778B"/>
                <w:sz w:val="20"/>
                <w:szCs w:val="20"/>
              </w:rPr>
              <w:t>Per Minute</w:t>
            </w:r>
          </w:p>
        </w:tc>
      </w:tr>
      <w:tr w:rsidR="0007736B" w14:paraId="5DF5B5E9" w14:textId="77777777">
        <w:tblPrEx>
          <w:tblCellMar>
            <w:top w:w="0" w:type="dxa"/>
            <w:bottom w:w="0" w:type="dxa"/>
          </w:tblCellMar>
        </w:tblPrEx>
        <w:tc>
          <w:tcPr>
            <w:tcW w:w="2080" w:type="dxa"/>
            <w:tcBorders>
              <w:top w:val="single" w:sz="1" w:space="0" w:color="CCCCCC"/>
              <w:left w:val="single" w:sz="1" w:space="0" w:color="CCCCCC"/>
              <w:bottom w:val="single" w:sz="1" w:space="0" w:color="CCCCCC"/>
              <w:right w:val="single" w:sz="1" w:space="0" w:color="CCCCCC"/>
            </w:tcBorders>
            <w:shd w:val="clear" w:color="auto" w:fill="D0D8E8"/>
            <w:tcMar>
              <w:top w:w="80" w:type="dxa"/>
              <w:left w:w="120" w:type="dxa"/>
              <w:bottom w:w="80" w:type="dxa"/>
              <w:right w:w="120" w:type="dxa"/>
            </w:tcMar>
            <w:vAlign w:val="center"/>
          </w:tcPr>
          <w:p w14:paraId="77EC54A4" w14:textId="77777777" w:rsidR="0007736B" w:rsidRDefault="00000000">
            <w:pPr>
              <w:jc w:val="center"/>
            </w:pPr>
            <w:r>
              <w:rPr>
                <w:b/>
                <w:bCs/>
                <w:color w:val="1B2A4A"/>
                <w:sz w:val="20"/>
                <w:szCs w:val="20"/>
              </w:rPr>
              <w:t>Dedicated Agents</w:t>
            </w:r>
          </w:p>
        </w:tc>
        <w:tc>
          <w:tcPr>
            <w:tcW w:w="4760" w:type="dxa"/>
            <w:tcBorders>
              <w:top w:val="single" w:sz="1" w:space="0" w:color="CCCCCC"/>
              <w:left w:val="single" w:sz="1" w:space="0" w:color="CCCCCC"/>
              <w:bottom w:val="single" w:sz="1" w:space="0" w:color="CCCCCC"/>
              <w:right w:val="single" w:sz="1" w:space="0" w:color="CCCCCC"/>
            </w:tcBorders>
            <w:shd w:val="clear" w:color="auto" w:fill="D0D8E8"/>
            <w:tcMar>
              <w:top w:w="80" w:type="dxa"/>
              <w:left w:w="120" w:type="dxa"/>
              <w:bottom w:w="80" w:type="dxa"/>
              <w:right w:w="120" w:type="dxa"/>
            </w:tcMar>
          </w:tcPr>
          <w:p w14:paraId="40780546" w14:textId="77777777" w:rsidR="0007736B" w:rsidRDefault="00000000">
            <w:r>
              <w:rPr>
                <w:color w:val="333333"/>
                <w:sz w:val="20"/>
                <w:szCs w:val="20"/>
              </w:rPr>
              <w:t>Agents assigned exclusively to your account. Deep familiarity with your protocols, providers, and patient population. AI integration available.</w:t>
            </w:r>
          </w:p>
        </w:tc>
        <w:tc>
          <w:tcPr>
            <w:tcW w:w="2400" w:type="dxa"/>
            <w:tcBorders>
              <w:top w:val="single" w:sz="1" w:space="0" w:color="CCCCCC"/>
              <w:left w:val="single" w:sz="1" w:space="0" w:color="CCCCCC"/>
              <w:bottom w:val="single" w:sz="1" w:space="0" w:color="CCCCCC"/>
              <w:right w:val="single" w:sz="1" w:space="0" w:color="CCCCCC"/>
            </w:tcBorders>
            <w:shd w:val="clear" w:color="auto" w:fill="D0D8E8"/>
            <w:tcMar>
              <w:top w:w="80" w:type="dxa"/>
              <w:left w:w="120" w:type="dxa"/>
              <w:bottom w:w="80" w:type="dxa"/>
              <w:right w:w="120" w:type="dxa"/>
            </w:tcMar>
            <w:vAlign w:val="center"/>
          </w:tcPr>
          <w:p w14:paraId="576F2545" w14:textId="77777777" w:rsidR="0007736B" w:rsidRDefault="00000000">
            <w:pPr>
              <w:jc w:val="center"/>
            </w:pPr>
            <w:r>
              <w:rPr>
                <w:b/>
                <w:bCs/>
                <w:color w:val="00778B"/>
                <w:sz w:val="20"/>
                <w:szCs w:val="20"/>
              </w:rPr>
              <w:t>Per Agent / Hour</w:t>
            </w:r>
          </w:p>
        </w:tc>
      </w:tr>
      <w:tr w:rsidR="0007736B" w14:paraId="04C274A1" w14:textId="77777777">
        <w:tblPrEx>
          <w:tblCellMar>
            <w:top w:w="0" w:type="dxa"/>
            <w:bottom w:w="0" w:type="dxa"/>
          </w:tblCellMar>
        </w:tblPrEx>
        <w:tc>
          <w:tcPr>
            <w:tcW w:w="2080" w:type="dxa"/>
            <w:tcBorders>
              <w:top w:val="single" w:sz="1" w:space="0" w:color="CCCCCC"/>
              <w:left w:val="single" w:sz="1" w:space="0" w:color="CCCCCC"/>
              <w:bottom w:val="single" w:sz="1" w:space="0" w:color="CCCCCC"/>
              <w:right w:val="single" w:sz="1" w:space="0" w:color="CCCCCC"/>
            </w:tcBorders>
            <w:shd w:val="clear" w:color="auto" w:fill="E6F3F6"/>
            <w:tcMar>
              <w:top w:w="80" w:type="dxa"/>
              <w:left w:w="120" w:type="dxa"/>
              <w:bottom w:w="80" w:type="dxa"/>
              <w:right w:w="120" w:type="dxa"/>
            </w:tcMar>
            <w:vAlign w:val="center"/>
          </w:tcPr>
          <w:p w14:paraId="3650906D" w14:textId="77777777" w:rsidR="0007736B" w:rsidRDefault="00000000">
            <w:pPr>
              <w:jc w:val="center"/>
            </w:pPr>
            <w:r>
              <w:rPr>
                <w:b/>
                <w:bCs/>
                <w:color w:val="1B2A4A"/>
                <w:sz w:val="20"/>
                <w:szCs w:val="20"/>
              </w:rPr>
              <w:t>AI-Integrated Hybrid</w:t>
            </w:r>
          </w:p>
        </w:tc>
        <w:tc>
          <w:tcPr>
            <w:tcW w:w="4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C164D6" w14:textId="77777777" w:rsidR="0007736B" w:rsidRDefault="00000000">
            <w:r>
              <w:rPr>
                <w:color w:val="333333"/>
                <w:sz w:val="20"/>
                <w:szCs w:val="20"/>
              </w:rPr>
              <w:t>AI agents handle high-volume routine calls; live agents manage complex or clinical calls. Optimizes cost while maintaining care quality.</w:t>
            </w:r>
          </w:p>
        </w:tc>
        <w:tc>
          <w:tcPr>
            <w:tcW w:w="2400" w:type="dxa"/>
            <w:tcBorders>
              <w:top w:val="single" w:sz="1" w:space="0" w:color="CCCCCC"/>
              <w:left w:val="single" w:sz="1" w:space="0" w:color="CCCCCC"/>
              <w:bottom w:val="single" w:sz="1" w:space="0" w:color="CCCCCC"/>
              <w:right w:val="single" w:sz="1" w:space="0" w:color="CCCCCC"/>
            </w:tcBorders>
            <w:shd w:val="clear" w:color="auto" w:fill="E6F3F6"/>
            <w:tcMar>
              <w:top w:w="80" w:type="dxa"/>
              <w:left w:w="120" w:type="dxa"/>
              <w:bottom w:w="80" w:type="dxa"/>
              <w:right w:w="120" w:type="dxa"/>
            </w:tcMar>
            <w:vAlign w:val="center"/>
          </w:tcPr>
          <w:p w14:paraId="55464B45" w14:textId="77777777" w:rsidR="0007736B" w:rsidRDefault="00000000">
            <w:pPr>
              <w:jc w:val="center"/>
            </w:pPr>
            <w:r>
              <w:rPr>
                <w:b/>
                <w:bCs/>
                <w:color w:val="00778B"/>
                <w:sz w:val="20"/>
                <w:szCs w:val="20"/>
              </w:rPr>
              <w:t>Custom Blended Rate</w:t>
            </w:r>
          </w:p>
        </w:tc>
      </w:tr>
    </w:tbl>
    <w:p w14:paraId="330100CF" w14:textId="77777777" w:rsidR="0007736B" w:rsidRDefault="0007736B"/>
    <w:p w14:paraId="4888C124" w14:textId="77777777" w:rsidR="0007736B" w:rsidRDefault="0007736B">
      <w:pPr>
        <w:pBdr>
          <w:bottom w:val="single" w:sz="4" w:space="1" w:color="C9A84C"/>
        </w:pBdr>
        <w:spacing w:before="160" w:after="160"/>
      </w:pPr>
    </w:p>
    <w:p w14:paraId="416667E8" w14:textId="77777777" w:rsidR="0007736B" w:rsidRDefault="00000000">
      <w:pPr>
        <w:pStyle w:val="Heading1"/>
        <w:pBdr>
          <w:bottom w:val="single" w:sz="8" w:space="4" w:color="00778B"/>
        </w:pBdr>
      </w:pPr>
      <w:r>
        <w:t>Keys to Successful Implementation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8640"/>
      </w:tblGrid>
      <w:tr w:rsidR="0007736B" w14:paraId="6B5FBFA1"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10AD035B"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586665E4" w14:textId="77777777" w:rsidR="0007736B" w:rsidRDefault="00000000">
            <w:r>
              <w:rPr>
                <w:color w:val="333333"/>
                <w:sz w:val="21"/>
                <w:szCs w:val="21"/>
              </w:rPr>
              <w:t>Proven onboarding methodology for large, multi-location healthcare organizations — including detailed scope of work and custom implementation plans</w:t>
            </w:r>
          </w:p>
        </w:tc>
      </w:tr>
      <w:tr w:rsidR="0007736B" w14:paraId="2B92EAC8"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53478197"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794372AA" w14:textId="77777777" w:rsidR="0007736B" w:rsidRDefault="00000000">
            <w:r>
              <w:rPr>
                <w:color w:val="333333"/>
                <w:sz w:val="21"/>
                <w:szCs w:val="21"/>
              </w:rPr>
              <w:t>Rigorous agent selection and ongoing training standards ensuring every agent meets TAS United's high bar for medical call handling</w:t>
            </w:r>
          </w:p>
        </w:tc>
      </w:tr>
      <w:tr w:rsidR="0007736B" w14:paraId="669335A3"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3E45BA6C"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140D8AD1" w14:textId="77777777" w:rsidR="0007736B" w:rsidRDefault="00000000">
            <w:r>
              <w:rPr>
                <w:color w:val="333333"/>
                <w:sz w:val="21"/>
                <w:szCs w:val="21"/>
              </w:rPr>
              <w:t>Redundant infrastructure across multiple U.S. locations protecting against telco outages, weather events, and system failures</w:t>
            </w:r>
          </w:p>
        </w:tc>
      </w:tr>
      <w:tr w:rsidR="0007736B" w14:paraId="0E5DFF24"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387D9385" w14:textId="77777777" w:rsidR="0007736B" w:rsidRDefault="00000000">
            <w:pPr>
              <w:jc w:val="center"/>
            </w:pPr>
            <w:r>
              <w:rPr>
                <w:b/>
                <w:bCs/>
                <w:color w:val="FFFFFF"/>
                <w:sz w:val="20"/>
                <w:szCs w:val="20"/>
              </w:rPr>
              <w:lastRenderedPageBreak/>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44911EF9" w14:textId="77777777" w:rsidR="0007736B" w:rsidRDefault="00000000">
            <w:r>
              <w:rPr>
                <w:color w:val="333333"/>
                <w:sz w:val="21"/>
                <w:szCs w:val="21"/>
              </w:rPr>
              <w:t>Technology platform meeting and exceeding enterprise standards for uptime, security, and scalability</w:t>
            </w:r>
          </w:p>
        </w:tc>
      </w:tr>
      <w:tr w:rsidR="0007736B" w14:paraId="261F2EA7"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4711C2E6"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0F6EBB96" w14:textId="77777777" w:rsidR="0007736B" w:rsidRDefault="00000000">
            <w:r>
              <w:rPr>
                <w:color w:val="333333"/>
                <w:sz w:val="21"/>
                <w:szCs w:val="21"/>
              </w:rPr>
              <w:t>Monthly performance review process with detailed KPI reporting and continuous improvement protocols</w:t>
            </w:r>
          </w:p>
        </w:tc>
      </w:tr>
      <w:tr w:rsidR="0007736B" w14:paraId="6E2C7C4B" w14:textId="77777777">
        <w:tblPrEx>
          <w:tblCellMar>
            <w:top w:w="0" w:type="dxa"/>
            <w:bottom w:w="0" w:type="dxa"/>
          </w:tblCellMar>
        </w:tblPrEx>
        <w:tc>
          <w:tcPr>
            <w:tcW w:w="360" w:type="dxa"/>
            <w:tcBorders>
              <w:top w:val="none" w:sz="0" w:space="0" w:color="FFFFFF"/>
              <w:left w:val="none" w:sz="0" w:space="0" w:color="FFFFFF"/>
              <w:bottom w:val="none" w:sz="0" w:space="0" w:color="FFFFFF"/>
              <w:right w:val="none" w:sz="0" w:space="0" w:color="FFFFFF"/>
            </w:tcBorders>
            <w:shd w:val="clear" w:color="auto" w:fill="00778B"/>
            <w:tcMar>
              <w:top w:w="60" w:type="dxa"/>
              <w:left w:w="80" w:type="dxa"/>
              <w:bottom w:w="60" w:type="dxa"/>
              <w:right w:w="80" w:type="dxa"/>
            </w:tcMar>
          </w:tcPr>
          <w:p w14:paraId="154D893F" w14:textId="77777777" w:rsidR="0007736B" w:rsidRDefault="00000000">
            <w:pPr>
              <w:jc w:val="center"/>
            </w:pPr>
            <w:r>
              <w:rPr>
                <w:b/>
                <w:bCs/>
                <w:color w:val="FFFFFF"/>
                <w:sz w:val="20"/>
                <w:szCs w:val="20"/>
              </w:rPr>
              <w:t>✓</w:t>
            </w:r>
          </w:p>
        </w:tc>
        <w:tc>
          <w:tcPr>
            <w:tcW w:w="8640"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5A9701CA" w14:textId="77777777" w:rsidR="0007736B" w:rsidRDefault="00000000">
            <w:r>
              <w:rPr>
                <w:color w:val="333333"/>
                <w:sz w:val="21"/>
                <w:szCs w:val="21"/>
              </w:rPr>
              <w:t>Dedicated account management ensuring alignment between TAS United operations and client leadership</w:t>
            </w:r>
          </w:p>
        </w:tc>
      </w:tr>
    </w:tbl>
    <w:p w14:paraId="3BA94840" w14:textId="77777777" w:rsidR="0007736B" w:rsidRDefault="0007736B"/>
    <w:p w14:paraId="68459497" w14:textId="77777777" w:rsidR="0007736B" w:rsidRDefault="0007736B">
      <w:pPr>
        <w:pBdr>
          <w:bottom w:val="single" w:sz="4" w:space="1" w:color="C9A84C"/>
        </w:pBdr>
        <w:spacing w:before="160" w:after="160"/>
      </w:pPr>
    </w:p>
    <w:p w14:paraId="506260C9" w14:textId="77777777" w:rsidR="0007736B" w:rsidRDefault="00000000">
      <w:pPr>
        <w:pStyle w:val="Heading1"/>
        <w:pBdr>
          <w:bottom w:val="single" w:sz="8" w:space="4" w:color="00778B"/>
        </w:pBdr>
      </w:pPr>
      <w:r>
        <w:t>Next Steps</w:t>
      </w:r>
    </w:p>
    <w:p w14:paraId="6927E97E" w14:textId="77777777" w:rsidR="0007736B" w:rsidRDefault="00000000">
      <w:pPr>
        <w:spacing w:before="80" w:after="80"/>
      </w:pPr>
      <w:r>
        <w:rPr>
          <w:color w:val="333333"/>
        </w:rPr>
        <w:t xml:space="preserve">TAS United is ready to partner with your healthcare organization to deliver the most secure, intelligent, and clinically aligned answering </w:t>
      </w:r>
      <w:proofErr w:type="gramStart"/>
      <w:r>
        <w:rPr>
          <w:color w:val="333333"/>
        </w:rPr>
        <w:t>service solution</w:t>
      </w:r>
      <w:proofErr w:type="gramEnd"/>
      <w:r>
        <w:rPr>
          <w:color w:val="333333"/>
        </w:rPr>
        <w:t xml:space="preserve"> available today. Whether you are a physician group, multi-location health system, specialty practice, or large hospital network, our team will design a solution that fits your patient population and operational requirements.</w:t>
      </w:r>
    </w:p>
    <w:p w14:paraId="3B3564E2" w14:textId="77777777" w:rsidR="0007736B" w:rsidRDefault="0007736B"/>
    <w:p w14:paraId="0A6C1157" w14:textId="77777777" w:rsidR="0007736B" w:rsidRDefault="00000000">
      <w:pPr>
        <w:shd w:val="clear" w:color="auto" w:fill="1B2A4A"/>
        <w:spacing w:before="120" w:after="120"/>
        <w:ind w:left="360" w:right="360"/>
        <w:jc w:val="center"/>
      </w:pPr>
      <w:r>
        <w:rPr>
          <w:b/>
          <w:bCs/>
          <w:color w:val="C9A84C"/>
          <w:sz w:val="26"/>
          <w:szCs w:val="26"/>
        </w:rPr>
        <w:br/>
        <w:t>Contact TAS United Today</w:t>
      </w:r>
      <w:r>
        <w:rPr>
          <w:color w:val="FFFFFF"/>
          <w:sz w:val="20"/>
          <w:szCs w:val="20"/>
        </w:rPr>
        <w:br/>
        <w:t>(800) 222-3434  |  tasunited.com  |  HITRUST Certified Since 2016</w:t>
      </w:r>
      <w:r>
        <w:rPr>
          <w:color w:val="E6F3F6"/>
          <w:sz w:val="18"/>
          <w:szCs w:val="18"/>
        </w:rPr>
        <w:br/>
        <w:t>Headquartered in Lubbock, TX  |  Operations in Guaynabo, PR</w:t>
      </w:r>
    </w:p>
    <w:p w14:paraId="6EE1E4E9" w14:textId="77777777" w:rsidR="0007736B" w:rsidRDefault="0007736B"/>
    <w:sectPr w:rsidR="0007736B">
      <w:headerReference w:type="default" r:id="rId8"/>
      <w:footerReference w:type="default" r:id="rId9"/>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3E4E" w14:textId="77777777" w:rsidR="00FA1A04" w:rsidRDefault="00FA1A04">
      <w:r>
        <w:separator/>
      </w:r>
    </w:p>
  </w:endnote>
  <w:endnote w:type="continuationSeparator" w:id="0">
    <w:p w14:paraId="19F3AF16" w14:textId="77777777" w:rsidR="00FA1A04" w:rsidRDefault="00FA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550A" w14:textId="77777777" w:rsidR="0007736B" w:rsidRDefault="00000000">
    <w:pPr>
      <w:pBdr>
        <w:top w:val="single" w:sz="4" w:space="4" w:color="1B2A4A"/>
      </w:pBdr>
      <w:tabs>
        <w:tab w:val="right" w:pos="9720"/>
      </w:tabs>
      <w:spacing w:before="80"/>
    </w:pPr>
    <w:r>
      <w:rPr>
        <w:color w:val="666666"/>
        <w:sz w:val="16"/>
        <w:szCs w:val="16"/>
      </w:rPr>
      <w:t>TAS United  |  HITRUST Certified  |  tasunited.com  |  (800) 222-3434</w:t>
    </w:r>
    <w:r>
      <w:rPr>
        <w:sz w:val="16"/>
        <w:szCs w:val="16"/>
      </w:rPr>
      <w:tab/>
    </w:r>
    <w:r>
      <w:rPr>
        <w:color w:val="666666"/>
        <w:sz w:val="16"/>
        <w:szCs w:val="16"/>
      </w:rPr>
      <w:t xml:space="preserve">Page </w:t>
    </w:r>
    <w:r>
      <w:fldChar w:fldCharType="begin"/>
    </w:r>
    <w:r>
      <w:instrText>PAGE</w:instrText>
    </w:r>
    <w:r>
      <w:fldChar w:fldCharType="separate"/>
    </w:r>
    <w:r w:rsidR="00121D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E8AA" w14:textId="77777777" w:rsidR="00FA1A04" w:rsidRDefault="00FA1A04">
      <w:r>
        <w:separator/>
      </w:r>
    </w:p>
  </w:footnote>
  <w:footnote w:type="continuationSeparator" w:id="0">
    <w:p w14:paraId="7253824C" w14:textId="77777777" w:rsidR="00FA1A04" w:rsidRDefault="00FA1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720"/>
    </w:tblGrid>
    <w:tr w:rsidR="0007736B" w14:paraId="051527A6"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1B2A4A"/>
          <w:tcMar>
            <w:top w:w="100" w:type="dxa"/>
            <w:left w:w="200" w:type="dxa"/>
            <w:bottom w:w="100" w:type="dxa"/>
            <w:right w:w="80" w:type="dxa"/>
          </w:tcMar>
          <w:vAlign w:val="center"/>
        </w:tcPr>
        <w:p w14:paraId="212CA91E" w14:textId="77777777" w:rsidR="0007736B" w:rsidRDefault="00000000">
          <w:r>
            <w:rPr>
              <w:b/>
              <w:bCs/>
              <w:color w:val="FFFFFF"/>
              <w:sz w:val="28"/>
              <w:szCs w:val="28"/>
            </w:rPr>
            <w:t>TAS UNITED</w:t>
          </w:r>
        </w:p>
        <w:p w14:paraId="4960B1AC" w14:textId="77777777" w:rsidR="0007736B" w:rsidRDefault="00000000">
          <w:r>
            <w:rPr>
              <w:color w:val="E6F3F6"/>
              <w:sz w:val="18"/>
              <w:szCs w:val="18"/>
            </w:rPr>
            <w:t>Healthcare Communication Solutions</w:t>
          </w:r>
        </w:p>
      </w:tc>
      <w:tc>
        <w:tcPr>
          <w:tcW w:w="3720" w:type="dxa"/>
          <w:tcBorders>
            <w:top w:val="none" w:sz="0" w:space="0" w:color="FFFFFF"/>
            <w:left w:val="none" w:sz="0" w:space="0" w:color="FFFFFF"/>
            <w:bottom w:val="none" w:sz="0" w:space="0" w:color="FFFFFF"/>
            <w:right w:val="none" w:sz="0" w:space="0" w:color="FFFFFF"/>
          </w:tcBorders>
          <w:shd w:val="clear" w:color="auto" w:fill="00778B"/>
          <w:tcMar>
            <w:top w:w="100" w:type="dxa"/>
            <w:left w:w="160" w:type="dxa"/>
            <w:bottom w:w="100" w:type="dxa"/>
            <w:right w:w="160" w:type="dxa"/>
          </w:tcMar>
          <w:vAlign w:val="center"/>
        </w:tcPr>
        <w:p w14:paraId="1D8D0228" w14:textId="77777777" w:rsidR="0007736B" w:rsidRDefault="00000000">
          <w:pPr>
            <w:jc w:val="right"/>
          </w:pPr>
          <w:r>
            <w:rPr>
              <w:b/>
              <w:bCs/>
              <w:color w:val="FFFFFF"/>
              <w:sz w:val="20"/>
              <w:szCs w:val="20"/>
            </w:rPr>
            <w:t>WHITE PAPER</w:t>
          </w:r>
        </w:p>
        <w:p w14:paraId="459876DF" w14:textId="77777777" w:rsidR="0007736B" w:rsidRDefault="00000000">
          <w:pPr>
            <w:jc w:val="right"/>
          </w:pPr>
          <w:r>
            <w:rPr>
              <w:color w:val="E6F3F6"/>
              <w:sz w:val="16"/>
              <w:szCs w:val="16"/>
            </w:rPr>
            <w:t>Medical Answering Service &amp; AI Agent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34D2"/>
    <w:multiLevelType w:val="hybridMultilevel"/>
    <w:tmpl w:val="E188CD2A"/>
    <w:lvl w:ilvl="0" w:tplc="760A01BC">
      <w:start w:val="1"/>
      <w:numFmt w:val="bullet"/>
      <w:lvlText w:val="●"/>
      <w:lvlJc w:val="left"/>
      <w:pPr>
        <w:ind w:left="720" w:hanging="360"/>
      </w:pPr>
    </w:lvl>
    <w:lvl w:ilvl="1" w:tplc="04F0D3E0">
      <w:start w:val="1"/>
      <w:numFmt w:val="bullet"/>
      <w:lvlText w:val="○"/>
      <w:lvlJc w:val="left"/>
      <w:pPr>
        <w:ind w:left="1440" w:hanging="360"/>
      </w:pPr>
    </w:lvl>
    <w:lvl w:ilvl="2" w:tplc="C5F850B2">
      <w:start w:val="1"/>
      <w:numFmt w:val="bullet"/>
      <w:lvlText w:val="■"/>
      <w:lvlJc w:val="left"/>
      <w:pPr>
        <w:ind w:left="2160" w:hanging="360"/>
      </w:pPr>
    </w:lvl>
    <w:lvl w:ilvl="3" w:tplc="2D8241EA">
      <w:start w:val="1"/>
      <w:numFmt w:val="bullet"/>
      <w:lvlText w:val="●"/>
      <w:lvlJc w:val="left"/>
      <w:pPr>
        <w:ind w:left="2880" w:hanging="360"/>
      </w:pPr>
    </w:lvl>
    <w:lvl w:ilvl="4" w:tplc="425C35D2">
      <w:start w:val="1"/>
      <w:numFmt w:val="bullet"/>
      <w:lvlText w:val="○"/>
      <w:lvlJc w:val="left"/>
      <w:pPr>
        <w:ind w:left="3600" w:hanging="360"/>
      </w:pPr>
    </w:lvl>
    <w:lvl w:ilvl="5" w:tplc="00923D14">
      <w:start w:val="1"/>
      <w:numFmt w:val="bullet"/>
      <w:lvlText w:val="■"/>
      <w:lvlJc w:val="left"/>
      <w:pPr>
        <w:ind w:left="4320" w:hanging="360"/>
      </w:pPr>
    </w:lvl>
    <w:lvl w:ilvl="6" w:tplc="7EA4C5A6">
      <w:start w:val="1"/>
      <w:numFmt w:val="bullet"/>
      <w:lvlText w:val="●"/>
      <w:lvlJc w:val="left"/>
      <w:pPr>
        <w:ind w:left="5040" w:hanging="360"/>
      </w:pPr>
    </w:lvl>
    <w:lvl w:ilvl="7" w:tplc="06CABFD8">
      <w:start w:val="1"/>
      <w:numFmt w:val="bullet"/>
      <w:lvlText w:val="●"/>
      <w:lvlJc w:val="left"/>
      <w:pPr>
        <w:ind w:left="5760" w:hanging="360"/>
      </w:pPr>
    </w:lvl>
    <w:lvl w:ilvl="8" w:tplc="48BCC30A">
      <w:start w:val="1"/>
      <w:numFmt w:val="bullet"/>
      <w:lvlText w:val="●"/>
      <w:lvlJc w:val="left"/>
      <w:pPr>
        <w:ind w:left="6480" w:hanging="360"/>
      </w:pPr>
    </w:lvl>
  </w:abstractNum>
  <w:abstractNum w:abstractNumId="1" w15:restartNumberingAfterBreak="0">
    <w:nsid w:val="4FC57140"/>
    <w:multiLevelType w:val="hybridMultilevel"/>
    <w:tmpl w:val="F7CC11FA"/>
    <w:lvl w:ilvl="0" w:tplc="030EA758">
      <w:start w:val="1"/>
      <w:numFmt w:val="bullet"/>
      <w:lvlText w:val="•"/>
      <w:lvlJc w:val="left"/>
      <w:pPr>
        <w:ind w:left="540" w:hanging="300"/>
      </w:pPr>
    </w:lvl>
    <w:lvl w:ilvl="1" w:tplc="73667DC4">
      <w:numFmt w:val="decimal"/>
      <w:lvlText w:val=""/>
      <w:lvlJc w:val="left"/>
    </w:lvl>
    <w:lvl w:ilvl="2" w:tplc="60783994">
      <w:numFmt w:val="decimal"/>
      <w:lvlText w:val=""/>
      <w:lvlJc w:val="left"/>
    </w:lvl>
    <w:lvl w:ilvl="3" w:tplc="62782BAA">
      <w:numFmt w:val="decimal"/>
      <w:lvlText w:val=""/>
      <w:lvlJc w:val="left"/>
    </w:lvl>
    <w:lvl w:ilvl="4" w:tplc="99D0473C">
      <w:numFmt w:val="decimal"/>
      <w:lvlText w:val=""/>
      <w:lvlJc w:val="left"/>
    </w:lvl>
    <w:lvl w:ilvl="5" w:tplc="2370E3E6">
      <w:numFmt w:val="decimal"/>
      <w:lvlText w:val=""/>
      <w:lvlJc w:val="left"/>
    </w:lvl>
    <w:lvl w:ilvl="6" w:tplc="A8A2FD5C">
      <w:numFmt w:val="decimal"/>
      <w:lvlText w:val=""/>
      <w:lvlJc w:val="left"/>
    </w:lvl>
    <w:lvl w:ilvl="7" w:tplc="385686A2">
      <w:numFmt w:val="decimal"/>
      <w:lvlText w:val=""/>
      <w:lvlJc w:val="left"/>
    </w:lvl>
    <w:lvl w:ilvl="8" w:tplc="9D5C3E60">
      <w:numFmt w:val="decimal"/>
      <w:lvlText w:val=""/>
      <w:lvlJc w:val="left"/>
    </w:lvl>
  </w:abstractNum>
  <w:num w:numId="1" w16cid:durableId="2050228417">
    <w:abstractNumId w:val="0"/>
    <w:lvlOverride w:ilvl="0">
      <w:startOverride w:val="1"/>
    </w:lvlOverride>
  </w:num>
  <w:num w:numId="2" w16cid:durableId="20467073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6B"/>
    <w:rsid w:val="00020070"/>
    <w:rsid w:val="0007736B"/>
    <w:rsid w:val="00121D12"/>
    <w:rsid w:val="00FA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996B"/>
  <w15:docId w15:val="{AF98FAC1-3F84-45BB-AE36-C22299DF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2A4A"/>
      <w:sz w:val="28"/>
      <w:szCs w:val="28"/>
    </w:rPr>
  </w:style>
  <w:style w:type="paragraph" w:styleId="Heading2">
    <w:name w:val="heading 2"/>
    <w:uiPriority w:val="9"/>
    <w:unhideWhenUsed/>
    <w:qFormat/>
    <w:pPr>
      <w:spacing w:before="240" w:after="80"/>
      <w:outlineLvl w:val="1"/>
    </w:pPr>
    <w:rPr>
      <w:b/>
      <w:bCs/>
      <w:color w:val="00778B"/>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7E17-DE78-4A28-BB02-799EE334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1352</Words>
  <Characters>7709</Characters>
  <Application>Microsoft Office Word</Application>
  <DocSecurity>0</DocSecurity>
  <Lines>64</Lines>
  <Paragraphs>18</Paragraphs>
  <ScaleCrop>false</ScaleCrop>
  <Company>R - Laptops</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Clay McElroy, MBA</cp:lastModifiedBy>
  <cp:revision>2</cp:revision>
  <dcterms:created xsi:type="dcterms:W3CDTF">2026-04-06T14:54:00Z</dcterms:created>
  <dcterms:modified xsi:type="dcterms:W3CDTF">2026-04-06T14:54:00Z</dcterms:modified>
</cp:coreProperties>
</file>