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5DF4" w14:textId="77777777" w:rsidR="004A5B71" w:rsidRDefault="00404D1D">
      <w:pPr>
        <w:pBdr>
          <w:top w:val="single" w:sz="96" w:space="12" w:color="1A365D"/>
        </w:pBdr>
        <w:spacing w:after="400"/>
      </w:pPr>
      <w:r>
        <w:rPr>
          <w:b/>
          <w:bCs/>
          <w:color w:val="2D7A7A"/>
          <w:spacing w:val="40"/>
          <w:sz w:val="18"/>
          <w:szCs w:val="18"/>
        </w:rPr>
        <w:t>TAS UNITED WHITEPAPER  |  PHARMACEUTICAL &amp; MEDICAL DEVICE</w:t>
      </w:r>
    </w:p>
    <w:p w14:paraId="6ED51641" w14:textId="77777777" w:rsidR="004A5B71" w:rsidRDefault="004A5B71">
      <w:pPr>
        <w:spacing w:after="600"/>
      </w:pPr>
    </w:p>
    <w:p w14:paraId="7FC3B9CA" w14:textId="77777777" w:rsidR="004A5B71" w:rsidRDefault="00404D1D">
      <w:pPr>
        <w:spacing w:after="280" w:line="320" w:lineRule="auto"/>
      </w:pPr>
      <w:r>
        <w:rPr>
          <w:rFonts w:ascii="Playfair Display" w:eastAsia="Playfair Display" w:hAnsi="Playfair Display" w:cs="Playfair Display"/>
          <w:b/>
          <w:bCs/>
          <w:color w:val="1A365D"/>
          <w:sz w:val="72"/>
          <w:szCs w:val="72"/>
        </w:rPr>
        <w:t>Closing the</w:t>
      </w:r>
    </w:p>
    <w:p w14:paraId="12BB7618" w14:textId="77777777" w:rsidR="004A5B71" w:rsidRDefault="00404D1D">
      <w:pPr>
        <w:spacing w:after="320" w:line="320" w:lineRule="auto"/>
      </w:pPr>
      <w:r>
        <w:rPr>
          <w:rFonts w:ascii="Playfair Display" w:eastAsia="Playfair Display" w:hAnsi="Playfair Display" w:cs="Playfair Display"/>
          <w:b/>
          <w:bCs/>
          <w:color w:val="C8A951"/>
          <w:sz w:val="72"/>
          <w:szCs w:val="72"/>
        </w:rPr>
        <w:t>Access Gap.</w:t>
      </w:r>
    </w:p>
    <w:p w14:paraId="3CAE2600" w14:textId="77777777" w:rsidR="004A5B71" w:rsidRDefault="004A5B71">
      <w:pPr>
        <w:pBdr>
          <w:bottom w:val="single" w:sz="18" w:space="1" w:color="C8A951"/>
        </w:pBdr>
        <w:spacing w:before="80" w:after="320"/>
      </w:pPr>
    </w:p>
    <w:p w14:paraId="7FF49913" w14:textId="77777777" w:rsidR="004A5B71" w:rsidRDefault="00404D1D">
      <w:pPr>
        <w:spacing w:after="320" w:line="360" w:lineRule="auto"/>
      </w:pPr>
      <w:r>
        <w:rPr>
          <w:rFonts w:ascii="Playfair Display" w:eastAsia="Playfair Display" w:hAnsi="Playfair Display" w:cs="Playfair Display"/>
          <w:i/>
          <w:iCs/>
          <w:sz w:val="30"/>
          <w:szCs w:val="30"/>
        </w:rPr>
        <w:t>How Virtual Sales Representatives Paired with AI-Integrated Agents Are Reshaping the Pharmaceutical Commercial Model</w:t>
      </w:r>
    </w:p>
    <w:p w14:paraId="65A16E41" w14:textId="77777777" w:rsidR="004A5B71" w:rsidRDefault="004A5B71">
      <w:pPr>
        <w:spacing w:after="400"/>
      </w:pPr>
    </w:p>
    <w:p w14:paraId="7D0F934B" w14:textId="77777777" w:rsidR="004A5B71" w:rsidRDefault="00404D1D">
      <w:pPr>
        <w:pBdr>
          <w:left w:val="single" w:sz="24" w:space="12" w:color="2D7A7A"/>
        </w:pBdr>
        <w:spacing w:after="240" w:line="340" w:lineRule="auto"/>
        <w:ind w:left="360"/>
      </w:pPr>
      <w:r>
        <w:rPr>
          <w:i/>
          <w:iCs/>
          <w:color w:val="555555"/>
          <w:sz w:val="24"/>
          <w:szCs w:val="24"/>
        </w:rPr>
        <w:t>A practical guide for commercial operations, brand teams, and sales leadership rethinking how their organizations engage with healthcare providers in 2026 and beyond.</w:t>
      </w:r>
    </w:p>
    <w:p w14:paraId="5992A2B9" w14:textId="77777777" w:rsidR="004A5B71" w:rsidRDefault="004A5B71">
      <w:pPr>
        <w:spacing w:after="800"/>
      </w:pPr>
    </w:p>
    <w:p w14:paraId="6979846C" w14:textId="77777777" w:rsidR="004A5B71" w:rsidRDefault="00404D1D">
      <w:pPr>
        <w:spacing w:after="80"/>
      </w:pPr>
      <w:r>
        <w:rPr>
          <w:b/>
          <w:bCs/>
          <w:color w:val="2D7A7A"/>
          <w:spacing w:val="40"/>
          <w:sz w:val="16"/>
          <w:szCs w:val="16"/>
        </w:rPr>
        <w:t>AUTHOR</w:t>
      </w:r>
    </w:p>
    <w:p w14:paraId="75DA0EAE" w14:textId="77777777" w:rsidR="004A5B71" w:rsidRDefault="00404D1D">
      <w:pPr>
        <w:spacing w:after="60"/>
      </w:pPr>
      <w:r>
        <w:rPr>
          <w:rFonts w:ascii="Playfair Display" w:eastAsia="Playfair Display" w:hAnsi="Playfair Display" w:cs="Playfair Display"/>
          <w:b/>
          <w:bCs/>
          <w:color w:val="1A365D"/>
          <w:sz w:val="28"/>
          <w:szCs w:val="28"/>
        </w:rPr>
        <w:t>Clay McElroy, MBA</w:t>
      </w:r>
    </w:p>
    <w:p w14:paraId="4972152F" w14:textId="77777777" w:rsidR="004A5B71" w:rsidRDefault="00404D1D">
      <w:pPr>
        <w:spacing w:after="320"/>
      </w:pPr>
      <w:r>
        <w:rPr>
          <w:i/>
          <w:iCs/>
          <w:color w:val="555555"/>
          <w:sz w:val="20"/>
          <w:szCs w:val="20"/>
        </w:rPr>
        <w:t>Director of Sales &amp; Client Engagement, TAS United</w:t>
      </w:r>
    </w:p>
    <w:p w14:paraId="38A37C2C" w14:textId="77777777" w:rsidR="004A5B71" w:rsidRDefault="00404D1D">
      <w:pPr>
        <w:pBdr>
          <w:top w:val="single" w:sz="6" w:space="8" w:color="C8A951"/>
        </w:pBdr>
        <w:spacing w:before="240"/>
      </w:pPr>
      <w:r>
        <w:rPr>
          <w:b/>
          <w:bCs/>
          <w:color w:val="1A365D"/>
          <w:spacing w:val="40"/>
          <w:sz w:val="16"/>
          <w:szCs w:val="16"/>
        </w:rPr>
        <w:t>TAS UNITED  |  HEALTHCARE-EXCLUSIVE SINCE 1984  |  HITRUST r2 CERTIFIED</w:t>
      </w:r>
    </w:p>
    <w:p w14:paraId="72DF847D" w14:textId="77777777" w:rsidR="004A5B71" w:rsidRDefault="00404D1D">
      <w:r>
        <w:br w:type="page"/>
      </w:r>
    </w:p>
    <w:p w14:paraId="03EAADD1" w14:textId="77777777" w:rsidR="004A5B71" w:rsidRDefault="00404D1D">
      <w:pPr>
        <w:spacing w:before="240" w:after="60"/>
      </w:pPr>
      <w:r>
        <w:rPr>
          <w:b/>
          <w:bCs/>
          <w:color w:val="2D7A7A"/>
          <w:spacing w:val="40"/>
          <w:sz w:val="18"/>
          <w:szCs w:val="18"/>
        </w:rPr>
        <w:lastRenderedPageBreak/>
        <w:t>EXECUTIVE SUMMARY</w:t>
      </w:r>
    </w:p>
    <w:p w14:paraId="5D1AEEE2"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The takeaways before the argument</w:t>
      </w:r>
    </w:p>
    <w:p w14:paraId="6D4B4AA3" w14:textId="77777777" w:rsidR="004A5B71" w:rsidRDefault="00404D1D">
      <w:pPr>
        <w:spacing w:after="180" w:line="320" w:lineRule="auto"/>
        <w:jc w:val="both"/>
      </w:pPr>
      <w:r>
        <w:t>Pharmaceutical commercial leaders face a structural problem that volume-led strategies have failed to solve. This whitepaper makes three arguments and offers a framework for evaluating the alternative.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A5B71" w14:paraId="6F114C60" w14:textId="77777777">
        <w:tblPrEx>
          <w:tblCellMar>
            <w:top w:w="0" w:type="dxa"/>
            <w:bottom w:w="0" w:type="dxa"/>
          </w:tblCellMar>
        </w:tblPrEx>
        <w:tc>
          <w:tcPr>
            <w:tcW w:w="9360" w:type="dxa"/>
            <w:tcBorders>
              <w:top w:val="none" w:sz="0" w:space="0" w:color="FFFFFF"/>
              <w:left w:val="single" w:sz="36" w:space="0" w:color="1A365D"/>
              <w:bottom w:val="none" w:sz="0" w:space="0" w:color="FFFFFF"/>
              <w:right w:val="none" w:sz="0" w:space="0" w:color="FFFFFF"/>
            </w:tcBorders>
            <w:shd w:val="clear" w:color="auto" w:fill="F4F2EC"/>
            <w:tcMar>
              <w:top w:w="280" w:type="dxa"/>
              <w:left w:w="360" w:type="dxa"/>
              <w:bottom w:w="280" w:type="dxa"/>
              <w:right w:w="360" w:type="dxa"/>
            </w:tcMar>
          </w:tcPr>
          <w:p w14:paraId="7C7B36B0" w14:textId="77777777" w:rsidR="004A5B71" w:rsidRDefault="00404D1D">
            <w:pPr>
              <w:spacing w:after="160"/>
            </w:pPr>
            <w:r>
              <w:rPr>
                <w:b/>
                <w:bCs/>
                <w:color w:val="1A365D"/>
              </w:rPr>
              <w:t>Three findings drive this paper:</w:t>
            </w:r>
          </w:p>
          <w:p w14:paraId="1DEDF84C" w14:textId="77777777" w:rsidR="004A5B71" w:rsidRDefault="00404D1D">
            <w:pPr>
              <w:spacing w:after="160" w:line="320" w:lineRule="auto"/>
            </w:pPr>
            <w:r>
              <w:rPr>
                <w:b/>
                <w:bCs/>
                <w:color w:val="2D7A7A"/>
              </w:rPr>
              <w:t xml:space="preserve">1.  </w:t>
            </w:r>
            <w:r>
              <w:rPr>
                <w:b/>
                <w:bCs/>
                <w:color w:val="1A365D"/>
              </w:rPr>
              <w:t xml:space="preserve">The HCP access crisis is structural, not cyclical. </w:t>
            </w:r>
            <w:r>
              <w:t>Volume-led strategies — more reps, more emails, more cadence — have stopped producing returns because the bottleneck is HCP capacity, not pharma reach.</w:t>
            </w:r>
          </w:p>
          <w:p w14:paraId="4D5B46E9" w14:textId="77777777" w:rsidR="004A5B71" w:rsidRDefault="00404D1D">
            <w:pPr>
              <w:spacing w:after="160" w:line="320" w:lineRule="auto"/>
            </w:pPr>
            <w:r>
              <w:rPr>
                <w:b/>
                <w:bCs/>
                <w:color w:val="2D7A7A"/>
              </w:rPr>
              <w:t xml:space="preserve">2.  </w:t>
            </w:r>
            <w:r>
              <w:rPr>
                <w:b/>
                <w:bCs/>
                <w:color w:val="1A365D"/>
              </w:rPr>
              <w:t xml:space="preserve">Virtual Sales Representatives and AI-Integrated Agents address different halves of the same problem. </w:t>
            </w:r>
            <w:r>
              <w:t>Deployed separately, each offers marginal improvement. Deployed together, they produce a step-change in coverage, responsiveness, and data quality.</w:t>
            </w:r>
          </w:p>
          <w:p w14:paraId="41BC478A" w14:textId="77777777" w:rsidR="004A5B71" w:rsidRDefault="00404D1D">
            <w:pPr>
              <w:spacing w:line="320" w:lineRule="auto"/>
            </w:pPr>
            <w:r>
              <w:rPr>
                <w:b/>
                <w:bCs/>
                <w:color w:val="2D7A7A"/>
              </w:rPr>
              <w:t xml:space="preserve">3.  </w:t>
            </w:r>
            <w:r>
              <w:rPr>
                <w:b/>
                <w:bCs/>
                <w:color w:val="1A365D"/>
              </w:rPr>
              <w:t xml:space="preserve">The hybrid model only works on the right infrastructure. </w:t>
            </w:r>
            <w:r>
              <w:t>HITRUST r2 certification, approved content libraries, licensed clinical escalation, and seamless human handoff are non-negotiable for pharmaceutical and medical device deployments.</w:t>
            </w:r>
          </w:p>
        </w:tc>
      </w:tr>
    </w:tbl>
    <w:p w14:paraId="05ABF783" w14:textId="77777777" w:rsidR="004A5B71" w:rsidRDefault="00404D1D">
      <w:pPr>
        <w:spacing w:before="240" w:after="60"/>
      </w:pPr>
      <w:r>
        <w:rPr>
          <w:b/>
          <w:bCs/>
          <w:color w:val="2D7A7A"/>
          <w:spacing w:val="40"/>
          <w:sz w:val="18"/>
          <w:szCs w:val="18"/>
        </w:rPr>
        <w:t>PART ONE</w:t>
      </w:r>
    </w:p>
    <w:p w14:paraId="31432127"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The HCP access crisis is structural</w:t>
      </w:r>
    </w:p>
    <w:p w14:paraId="775B905C" w14:textId="77777777" w:rsidR="004A5B71" w:rsidRDefault="00404D1D">
      <w:pPr>
        <w:spacing w:after="180" w:line="320" w:lineRule="auto"/>
        <w:jc w:val="both"/>
      </w:pPr>
      <w:r>
        <w:t xml:space="preserve">For most of the last two decades, pharmaceutical sales leaders have been trying to solve the same problem with the same tools. As physician access has tightened, the industry's response has largely been </w:t>
      </w:r>
      <w:proofErr w:type="gramStart"/>
      <w:r>
        <w:t>to push</w:t>
      </w:r>
      <w:proofErr w:type="gramEnd"/>
      <w:r>
        <w:t xml:space="preserve"> harder on existing channels: more field reps, more emails, more webinars, more reach-and-frequency. The results have been predictable.</w:t>
      </w:r>
    </w:p>
    <w:p w14:paraId="0EBE064C" w14:textId="77777777" w:rsidR="004A5B71" w:rsidRDefault="00404D1D">
      <w:pPr>
        <w:spacing w:after="180" w:line="320" w:lineRule="auto"/>
        <w:jc w:val="both"/>
      </w:pPr>
      <w:r>
        <w:t>The numbers from 2025 and early 2026 tell a consistent 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4A5B71" w14:paraId="5E26514D" w14:textId="77777777">
        <w:tblPrEx>
          <w:tblCellMar>
            <w:top w:w="0" w:type="dxa"/>
            <w:bottom w:w="0" w:type="dxa"/>
          </w:tblCellMar>
        </w:tblPrEx>
        <w:tc>
          <w:tcPr>
            <w:tcW w:w="1800" w:type="dxa"/>
            <w:tcBorders>
              <w:top w:val="none" w:sz="0" w:space="0" w:color="FFFFFF"/>
              <w:left w:val="single" w:sz="36" w:space="0" w:color="C8A951"/>
              <w:bottom w:val="single" w:sz="6" w:space="0" w:color="FFFFFF"/>
              <w:right w:val="none" w:sz="0" w:space="0" w:color="FFFFFF"/>
            </w:tcBorders>
            <w:shd w:val="clear" w:color="auto" w:fill="E8F1F1"/>
            <w:tcMar>
              <w:top w:w="160" w:type="dxa"/>
              <w:left w:w="180" w:type="dxa"/>
              <w:bottom w:w="160" w:type="dxa"/>
              <w:right w:w="120" w:type="dxa"/>
            </w:tcMar>
            <w:vAlign w:val="center"/>
          </w:tcPr>
          <w:p w14:paraId="2B04423D" w14:textId="77777777" w:rsidR="004A5B71" w:rsidRDefault="00404D1D">
            <w:pPr>
              <w:jc w:val="right"/>
            </w:pPr>
            <w:r>
              <w:rPr>
                <w:rFonts w:ascii="Playfair Display" w:eastAsia="Playfair Display" w:hAnsi="Playfair Display" w:cs="Playfair Display"/>
                <w:b/>
                <w:bCs/>
                <w:color w:val="1A365D"/>
                <w:sz w:val="44"/>
                <w:szCs w:val="44"/>
              </w:rPr>
              <w:t>39%</w:t>
            </w:r>
          </w:p>
        </w:tc>
        <w:tc>
          <w:tcPr>
            <w:tcW w:w="7560" w:type="dxa"/>
            <w:tcBorders>
              <w:top w:val="none" w:sz="0" w:space="0" w:color="FFFFFF"/>
              <w:left w:val="none" w:sz="0" w:space="0" w:color="FFFFFF"/>
              <w:bottom w:val="single" w:sz="6" w:space="0" w:color="FFFFFF"/>
              <w:right w:val="none" w:sz="0" w:space="0" w:color="FFFFFF"/>
            </w:tcBorders>
            <w:shd w:val="clear" w:color="auto" w:fill="E8F1F1"/>
            <w:tcMar>
              <w:top w:w="160" w:type="dxa"/>
              <w:left w:w="240" w:type="dxa"/>
              <w:bottom w:w="160" w:type="dxa"/>
              <w:right w:w="240" w:type="dxa"/>
            </w:tcMar>
            <w:vAlign w:val="center"/>
          </w:tcPr>
          <w:p w14:paraId="5D6DF394" w14:textId="77777777" w:rsidR="004A5B71" w:rsidRDefault="00404D1D">
            <w:r>
              <w:rPr>
                <w:sz w:val="21"/>
                <w:szCs w:val="21"/>
              </w:rPr>
              <w:t>of physicians have not communicated with a pharmaceutical representative in the past six months</w:t>
            </w:r>
          </w:p>
        </w:tc>
      </w:tr>
      <w:tr w:rsidR="004A5B71" w14:paraId="1ED22401" w14:textId="77777777">
        <w:tblPrEx>
          <w:tblCellMar>
            <w:top w:w="0" w:type="dxa"/>
            <w:bottom w:w="0" w:type="dxa"/>
          </w:tblCellMar>
        </w:tblPrEx>
        <w:tc>
          <w:tcPr>
            <w:tcW w:w="1800" w:type="dxa"/>
            <w:tcBorders>
              <w:top w:val="none" w:sz="0" w:space="0" w:color="FFFFFF"/>
              <w:left w:val="single" w:sz="36" w:space="0" w:color="C8A951"/>
              <w:bottom w:val="single" w:sz="6" w:space="0" w:color="FFFFFF"/>
              <w:right w:val="none" w:sz="0" w:space="0" w:color="FFFFFF"/>
            </w:tcBorders>
            <w:shd w:val="clear" w:color="auto" w:fill="E8F1F1"/>
            <w:tcMar>
              <w:top w:w="160" w:type="dxa"/>
              <w:left w:w="180" w:type="dxa"/>
              <w:bottom w:w="160" w:type="dxa"/>
              <w:right w:w="120" w:type="dxa"/>
            </w:tcMar>
            <w:vAlign w:val="center"/>
          </w:tcPr>
          <w:p w14:paraId="7F09DD52" w14:textId="77777777" w:rsidR="004A5B71" w:rsidRDefault="00404D1D">
            <w:pPr>
              <w:jc w:val="right"/>
            </w:pPr>
            <w:r>
              <w:rPr>
                <w:rFonts w:ascii="Playfair Display" w:eastAsia="Playfair Display" w:hAnsi="Playfair Display" w:cs="Playfair Display"/>
                <w:b/>
                <w:bCs/>
                <w:color w:val="1A365D"/>
                <w:sz w:val="44"/>
                <w:szCs w:val="44"/>
              </w:rPr>
              <w:lastRenderedPageBreak/>
              <w:t>45%</w:t>
            </w:r>
          </w:p>
        </w:tc>
        <w:tc>
          <w:tcPr>
            <w:tcW w:w="7560" w:type="dxa"/>
            <w:tcBorders>
              <w:top w:val="none" w:sz="0" w:space="0" w:color="FFFFFF"/>
              <w:left w:val="none" w:sz="0" w:space="0" w:color="FFFFFF"/>
              <w:bottom w:val="single" w:sz="6" w:space="0" w:color="FFFFFF"/>
              <w:right w:val="none" w:sz="0" w:space="0" w:color="FFFFFF"/>
            </w:tcBorders>
            <w:shd w:val="clear" w:color="auto" w:fill="E8F1F1"/>
            <w:tcMar>
              <w:top w:w="160" w:type="dxa"/>
              <w:left w:w="240" w:type="dxa"/>
              <w:bottom w:w="160" w:type="dxa"/>
              <w:right w:w="240" w:type="dxa"/>
            </w:tcMar>
            <w:vAlign w:val="center"/>
          </w:tcPr>
          <w:p w14:paraId="387C97A3" w14:textId="77777777" w:rsidR="004A5B71" w:rsidRDefault="00404D1D">
            <w:r>
              <w:rPr>
                <w:sz w:val="21"/>
                <w:szCs w:val="21"/>
              </w:rPr>
              <w:t>of physicians are now digitally unreachable through traditional channels</w:t>
            </w:r>
          </w:p>
        </w:tc>
      </w:tr>
      <w:tr w:rsidR="004A5B71" w14:paraId="2A2CFB39" w14:textId="77777777">
        <w:tblPrEx>
          <w:tblCellMar>
            <w:top w:w="0" w:type="dxa"/>
            <w:bottom w:w="0" w:type="dxa"/>
          </w:tblCellMar>
        </w:tblPrEx>
        <w:tc>
          <w:tcPr>
            <w:tcW w:w="1800" w:type="dxa"/>
            <w:tcBorders>
              <w:top w:val="none" w:sz="0" w:space="0" w:color="FFFFFF"/>
              <w:left w:val="single" w:sz="36" w:space="0" w:color="C8A951"/>
              <w:bottom w:val="single" w:sz="6" w:space="0" w:color="FFFFFF"/>
              <w:right w:val="none" w:sz="0" w:space="0" w:color="FFFFFF"/>
            </w:tcBorders>
            <w:shd w:val="clear" w:color="auto" w:fill="E8F1F1"/>
            <w:tcMar>
              <w:top w:w="160" w:type="dxa"/>
              <w:left w:w="180" w:type="dxa"/>
              <w:bottom w:w="160" w:type="dxa"/>
              <w:right w:w="120" w:type="dxa"/>
            </w:tcMar>
            <w:vAlign w:val="center"/>
          </w:tcPr>
          <w:p w14:paraId="7EBC0164" w14:textId="77777777" w:rsidR="004A5B71" w:rsidRDefault="00404D1D">
            <w:pPr>
              <w:jc w:val="right"/>
            </w:pPr>
            <w:r>
              <w:rPr>
                <w:rFonts w:ascii="Playfair Display" w:eastAsia="Playfair Display" w:hAnsi="Playfair Display" w:cs="Playfair Display"/>
                <w:b/>
                <w:bCs/>
                <w:color w:val="1A365D"/>
                <w:sz w:val="44"/>
                <w:szCs w:val="44"/>
              </w:rPr>
              <w:t>55%</w:t>
            </w:r>
          </w:p>
        </w:tc>
        <w:tc>
          <w:tcPr>
            <w:tcW w:w="7560" w:type="dxa"/>
            <w:tcBorders>
              <w:top w:val="none" w:sz="0" w:space="0" w:color="FFFFFF"/>
              <w:left w:val="none" w:sz="0" w:space="0" w:color="FFFFFF"/>
              <w:bottom w:val="single" w:sz="6" w:space="0" w:color="FFFFFF"/>
              <w:right w:val="none" w:sz="0" w:space="0" w:color="FFFFFF"/>
            </w:tcBorders>
            <w:shd w:val="clear" w:color="auto" w:fill="E8F1F1"/>
            <w:tcMar>
              <w:top w:w="160" w:type="dxa"/>
              <w:left w:w="240" w:type="dxa"/>
              <w:bottom w:w="160" w:type="dxa"/>
              <w:right w:w="240" w:type="dxa"/>
            </w:tcMar>
            <w:vAlign w:val="center"/>
          </w:tcPr>
          <w:p w14:paraId="0D8E6107" w14:textId="77777777" w:rsidR="004A5B71" w:rsidRDefault="00404D1D">
            <w:r>
              <w:rPr>
                <w:sz w:val="21"/>
                <w:szCs w:val="21"/>
              </w:rPr>
              <w:t>of oncologists meet with three or fewer pharmaceutical manufacturers</w:t>
            </w:r>
          </w:p>
        </w:tc>
      </w:tr>
      <w:tr w:rsidR="004A5B71" w14:paraId="46B18FD5" w14:textId="77777777">
        <w:tblPrEx>
          <w:tblCellMar>
            <w:top w:w="0" w:type="dxa"/>
            <w:bottom w:w="0" w:type="dxa"/>
          </w:tblCellMar>
        </w:tblPrEx>
        <w:tc>
          <w:tcPr>
            <w:tcW w:w="1800" w:type="dxa"/>
            <w:tcBorders>
              <w:top w:val="none" w:sz="0" w:space="0" w:color="FFFFFF"/>
              <w:left w:val="single" w:sz="36" w:space="0" w:color="C8A951"/>
              <w:bottom w:val="single" w:sz="6" w:space="0" w:color="FFFFFF"/>
              <w:right w:val="none" w:sz="0" w:space="0" w:color="FFFFFF"/>
            </w:tcBorders>
            <w:shd w:val="clear" w:color="auto" w:fill="E8F1F1"/>
            <w:tcMar>
              <w:top w:w="160" w:type="dxa"/>
              <w:left w:w="180" w:type="dxa"/>
              <w:bottom w:w="160" w:type="dxa"/>
              <w:right w:w="120" w:type="dxa"/>
            </w:tcMar>
            <w:vAlign w:val="center"/>
          </w:tcPr>
          <w:p w14:paraId="1AAE7D98" w14:textId="77777777" w:rsidR="004A5B71" w:rsidRDefault="00404D1D">
            <w:pPr>
              <w:jc w:val="right"/>
            </w:pPr>
            <w:r>
              <w:rPr>
                <w:rFonts w:ascii="Playfair Display" w:eastAsia="Playfair Display" w:hAnsi="Playfair Display" w:cs="Playfair Display"/>
                <w:b/>
                <w:bCs/>
                <w:color w:val="1A365D"/>
                <w:sz w:val="44"/>
                <w:szCs w:val="44"/>
              </w:rPr>
              <w:t>30%</w:t>
            </w:r>
          </w:p>
        </w:tc>
        <w:tc>
          <w:tcPr>
            <w:tcW w:w="7560" w:type="dxa"/>
            <w:tcBorders>
              <w:top w:val="none" w:sz="0" w:space="0" w:color="FFFFFF"/>
              <w:left w:val="none" w:sz="0" w:space="0" w:color="FFFFFF"/>
              <w:bottom w:val="single" w:sz="6" w:space="0" w:color="FFFFFF"/>
              <w:right w:val="none" w:sz="0" w:space="0" w:color="FFFFFF"/>
            </w:tcBorders>
            <w:shd w:val="clear" w:color="auto" w:fill="E8F1F1"/>
            <w:tcMar>
              <w:top w:w="160" w:type="dxa"/>
              <w:left w:w="240" w:type="dxa"/>
              <w:bottom w:w="160" w:type="dxa"/>
              <w:right w:w="240" w:type="dxa"/>
            </w:tcMar>
            <w:vAlign w:val="center"/>
          </w:tcPr>
          <w:p w14:paraId="3314F96D" w14:textId="77777777" w:rsidR="004A5B71" w:rsidRDefault="00404D1D">
            <w:r>
              <w:rPr>
                <w:sz w:val="21"/>
                <w:szCs w:val="21"/>
              </w:rPr>
              <w:t xml:space="preserve">of </w:t>
            </w:r>
            <w:proofErr w:type="gramStart"/>
            <w:r>
              <w:rPr>
                <w:sz w:val="21"/>
                <w:szCs w:val="21"/>
              </w:rPr>
              <w:t>psychiatrists</w:t>
            </w:r>
            <w:proofErr w:type="gramEnd"/>
            <w:r>
              <w:rPr>
                <w:sz w:val="21"/>
                <w:szCs w:val="21"/>
              </w:rPr>
              <w:t xml:space="preserve"> limit access to a single company</w:t>
            </w:r>
          </w:p>
        </w:tc>
      </w:tr>
      <w:tr w:rsidR="004A5B71" w14:paraId="3D72CA07" w14:textId="77777777">
        <w:tblPrEx>
          <w:tblCellMar>
            <w:top w:w="0" w:type="dxa"/>
            <w:bottom w:w="0" w:type="dxa"/>
          </w:tblCellMar>
        </w:tblPrEx>
        <w:tc>
          <w:tcPr>
            <w:tcW w:w="1800" w:type="dxa"/>
            <w:tcBorders>
              <w:top w:val="none" w:sz="0" w:space="0" w:color="FFFFFF"/>
              <w:left w:val="single" w:sz="36" w:space="0" w:color="C8A951"/>
              <w:bottom w:val="single" w:sz="6" w:space="0" w:color="FFFFFF"/>
              <w:right w:val="none" w:sz="0" w:space="0" w:color="FFFFFF"/>
            </w:tcBorders>
            <w:shd w:val="clear" w:color="auto" w:fill="E8F1F1"/>
            <w:tcMar>
              <w:top w:w="160" w:type="dxa"/>
              <w:left w:w="180" w:type="dxa"/>
              <w:bottom w:w="160" w:type="dxa"/>
              <w:right w:w="120" w:type="dxa"/>
            </w:tcMar>
            <w:vAlign w:val="center"/>
          </w:tcPr>
          <w:p w14:paraId="24E7B1ED" w14:textId="77777777" w:rsidR="004A5B71" w:rsidRDefault="00404D1D">
            <w:pPr>
              <w:jc w:val="right"/>
            </w:pPr>
            <w:r>
              <w:rPr>
                <w:rFonts w:ascii="Playfair Display" w:eastAsia="Playfair Display" w:hAnsi="Playfair Display" w:cs="Playfair Display"/>
                <w:b/>
                <w:bCs/>
                <w:color w:val="1A365D"/>
                <w:sz w:val="44"/>
                <w:szCs w:val="44"/>
              </w:rPr>
              <w:t>66%</w:t>
            </w:r>
          </w:p>
        </w:tc>
        <w:tc>
          <w:tcPr>
            <w:tcW w:w="7560" w:type="dxa"/>
            <w:tcBorders>
              <w:top w:val="none" w:sz="0" w:space="0" w:color="FFFFFF"/>
              <w:left w:val="none" w:sz="0" w:space="0" w:color="FFFFFF"/>
              <w:bottom w:val="single" w:sz="6" w:space="0" w:color="FFFFFF"/>
              <w:right w:val="none" w:sz="0" w:space="0" w:color="FFFFFF"/>
            </w:tcBorders>
            <w:shd w:val="clear" w:color="auto" w:fill="E8F1F1"/>
            <w:tcMar>
              <w:top w:w="160" w:type="dxa"/>
              <w:left w:w="240" w:type="dxa"/>
              <w:bottom w:w="160" w:type="dxa"/>
              <w:right w:w="240" w:type="dxa"/>
            </w:tcMar>
            <w:vAlign w:val="center"/>
          </w:tcPr>
          <w:p w14:paraId="67A198E0" w14:textId="77777777" w:rsidR="004A5B71" w:rsidRDefault="00404D1D">
            <w:r>
              <w:rPr>
                <w:sz w:val="21"/>
                <w:szCs w:val="21"/>
              </w:rPr>
              <w:t>of physicians now use AI tools daily in their clinical workflow</w:t>
            </w:r>
          </w:p>
        </w:tc>
      </w:tr>
    </w:tbl>
    <w:p w14:paraId="77BD43A9" w14:textId="77777777" w:rsidR="004A5B71" w:rsidRDefault="004A5B71">
      <w:pPr>
        <w:spacing w:after="280"/>
      </w:pPr>
    </w:p>
    <w:p w14:paraId="32D9916C" w14:textId="77777777" w:rsidR="004A5B71" w:rsidRDefault="00404D1D">
      <w:pPr>
        <w:spacing w:after="180" w:line="320" w:lineRule="auto"/>
        <w:jc w:val="both"/>
      </w:pPr>
      <w:r>
        <w:t>These figures are not signs of an industry between cycles. They describe a structural shift in how clinicians make information decisions. HCPs are not disengaged from medical information; they are disengaged from the pharmaceutical industry's existing delivery model for that information.</w:t>
      </w:r>
    </w:p>
    <w:p w14:paraId="5FACACC8" w14:textId="77777777" w:rsidR="004A5B71" w:rsidRDefault="00404D1D">
      <w:pPr>
        <w:spacing w:after="180" w:line="320" w:lineRule="auto"/>
        <w:jc w:val="both"/>
      </w:pPr>
      <w:r>
        <w:t xml:space="preserve">This is not a coverage problem. It is a capacity problem </w:t>
      </w:r>
      <w:proofErr w:type="gramStart"/>
      <w:r>
        <w:t>on</w:t>
      </w:r>
      <w:proofErr w:type="gramEnd"/>
      <w:r>
        <w:t xml:space="preserve"> the receiving end. And capacity problems do not respond to volume.</w:t>
      </w:r>
    </w:p>
    <w:p w14:paraId="7E6D589B" w14:textId="77777777" w:rsidR="004A5B71" w:rsidRDefault="00404D1D">
      <w:pPr>
        <w:spacing w:before="280" w:after="140"/>
      </w:pPr>
      <w:r>
        <w:rPr>
          <w:rFonts w:ascii="Playfair Display" w:eastAsia="Playfair Display" w:hAnsi="Playfair Display" w:cs="Playfair Display"/>
          <w:b/>
          <w:bCs/>
          <w:color w:val="1A365D"/>
          <w:sz w:val="26"/>
          <w:szCs w:val="26"/>
        </w:rPr>
        <w:t>Why volume-led strategy stopped working</w:t>
      </w:r>
    </w:p>
    <w:p w14:paraId="43ED3E5A" w14:textId="77777777" w:rsidR="004A5B71" w:rsidRDefault="00404D1D">
      <w:pPr>
        <w:spacing w:after="180" w:line="320" w:lineRule="auto"/>
        <w:jc w:val="both"/>
      </w:pPr>
      <w:r>
        <w:t>The pharma response to declining access has historically been quantitative: add reps, add channels, add touches. The data argues this is exactly backwards.</w:t>
      </w:r>
    </w:p>
    <w:p w14:paraId="7F7DC8E6" w14:textId="77777777" w:rsidR="004A5B71" w:rsidRDefault="00404D1D">
      <w:pPr>
        <w:spacing w:after="180" w:line="320" w:lineRule="auto"/>
        <w:jc w:val="both"/>
      </w:pPr>
      <w:r>
        <w:t xml:space="preserve">When physicians filter, adding volume accelerates the filter. The result is what one recent industry analysis </w:t>
      </w:r>
      <w:proofErr w:type="gramStart"/>
      <w:r>
        <w:t>termed</w:t>
      </w:r>
      <w:proofErr w:type="gramEnd"/>
      <w:r>
        <w:t xml:space="preserve"> an "attrition </w:t>
      </w:r>
      <w:proofErr w:type="gramStart"/>
      <w:r>
        <w:t>accelerator" —</w:t>
      </w:r>
      <w:proofErr w:type="gramEnd"/>
      <w:r>
        <w:t xml:space="preserve"> exponential noise producing diminishing returns. Most pharmaceutical organizations sit on extraordinary amounts of HCP behavioral data — prescribing trends, CPD engagement, conference patterns, formulary signals — and use less than 20 percent of it. The insight gap is not collection. It is activation.</w:t>
      </w:r>
    </w:p>
    <w:p w14:paraId="17912754" w14:textId="77777777" w:rsidR="004A5B71" w:rsidRDefault="00404D1D">
      <w:pPr>
        <w:spacing w:after="180" w:line="320" w:lineRule="auto"/>
        <w:jc w:val="both"/>
      </w:pPr>
      <w:r>
        <w:t>The strategic alternative is to compress the channel: fewer, higher-quality touchpoints, each one delivering more information, captured more completely, with the right human or system answering the question that follows.</w:t>
      </w:r>
    </w:p>
    <w:p w14:paraId="369E7A16" w14:textId="77777777" w:rsidR="004A5B71" w:rsidRDefault="00404D1D">
      <w:pPr>
        <w:spacing w:before="240" w:after="60"/>
      </w:pPr>
      <w:r>
        <w:rPr>
          <w:b/>
          <w:bCs/>
          <w:color w:val="2D7A7A"/>
          <w:spacing w:val="40"/>
          <w:sz w:val="18"/>
          <w:szCs w:val="18"/>
        </w:rPr>
        <w:t>PART TWO</w:t>
      </w:r>
    </w:p>
    <w:p w14:paraId="78BE7D26"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Virtual Sales Representatives: the human half</w:t>
      </w:r>
    </w:p>
    <w:p w14:paraId="3ED40EDE" w14:textId="77777777" w:rsidR="004A5B71" w:rsidRDefault="00404D1D">
      <w:pPr>
        <w:spacing w:after="180" w:line="320" w:lineRule="auto"/>
        <w:jc w:val="both"/>
      </w:pPr>
      <w:r>
        <w:lastRenderedPageBreak/>
        <w:t>A Virtual Sales Representative is not a call-center agent reading from a script. The role is closer in skill and orientation to a field rep working from a remote office, with proportionally higher conversation volumes and tighter integration with the brand's data systems.</w:t>
      </w:r>
    </w:p>
    <w:p w14:paraId="684B426C" w14:textId="77777777" w:rsidR="004A5B71" w:rsidRDefault="00404D1D">
      <w:pPr>
        <w:spacing w:after="180" w:line="320" w:lineRule="auto"/>
        <w:jc w:val="both"/>
      </w:pPr>
      <w:r>
        <w:t>When properly trained and deployed, virtual reps offer five structural advantages over field-only deployment.</w:t>
      </w:r>
    </w:p>
    <w:p w14:paraId="2A401907" w14:textId="77777777" w:rsidR="004A5B71" w:rsidRDefault="00404D1D">
      <w:pPr>
        <w:spacing w:before="160" w:after="80"/>
      </w:pPr>
      <w:r>
        <w:rPr>
          <w:b/>
          <w:bCs/>
          <w:color w:val="2D7A7A"/>
        </w:rPr>
        <w:t>Lower cost per contact</w:t>
      </w:r>
    </w:p>
    <w:p w14:paraId="780CFBAE" w14:textId="77777777" w:rsidR="004A5B71" w:rsidRDefault="00404D1D">
      <w:pPr>
        <w:spacing w:after="180" w:line="320" w:lineRule="auto"/>
        <w:jc w:val="both"/>
      </w:pPr>
      <w:r>
        <w:t>Cost per HCP contact for a well-run virtual program typically runs 40-60 percent below in-territory field deployment, depending on therapeutic area and target geography. The savings come from eliminated travel, eliminated territory inefficiencies, and significantly higher daily contact rates.</w:t>
      </w:r>
    </w:p>
    <w:p w14:paraId="25202FC2" w14:textId="77777777" w:rsidR="004A5B71" w:rsidRDefault="00404D1D">
      <w:pPr>
        <w:spacing w:before="160" w:after="80"/>
      </w:pPr>
      <w:r>
        <w:rPr>
          <w:b/>
          <w:bCs/>
          <w:color w:val="2D7A7A"/>
        </w:rPr>
        <w:t>Coverage for low-density and underserved markets</w:t>
      </w:r>
    </w:p>
    <w:p w14:paraId="5ED4EE88" w14:textId="77777777" w:rsidR="004A5B71" w:rsidRDefault="00404D1D">
      <w:pPr>
        <w:spacing w:after="180" w:line="320" w:lineRule="auto"/>
        <w:jc w:val="both"/>
      </w:pPr>
      <w:r>
        <w:t>Geographic constraints largely disappear. Specialties with thin or uneven HCP density — many rare disease indications, specialty oncology subtypes, certain device categories — become economically viable to cover with a dedicated team. Bilingual representatives, deployed at scale, also unlock Spanish-language clinical conversations that pharmaceutical organizations often handle through translation rather than native dialogue.</w:t>
      </w:r>
    </w:p>
    <w:p w14:paraId="29CFB511" w14:textId="77777777" w:rsidR="004A5B71" w:rsidRDefault="00404D1D">
      <w:pPr>
        <w:spacing w:before="160" w:after="80"/>
      </w:pPr>
      <w:r>
        <w:rPr>
          <w:b/>
          <w:bCs/>
          <w:color w:val="2D7A7A"/>
        </w:rPr>
        <w:t>Cadence flexibility</w:t>
      </w:r>
    </w:p>
    <w:p w14:paraId="206228F7" w14:textId="77777777" w:rsidR="004A5B71" w:rsidRDefault="00404D1D">
      <w:pPr>
        <w:spacing w:after="180" w:line="320" w:lineRule="auto"/>
        <w:jc w:val="both"/>
      </w:pPr>
      <w:r>
        <w:t>A virtual rep can match cadence to the physician's calendar rather than the territory map — calling after hours, around procedures, or during the narrow administrative windows that determine whether a real conversation happens at all. Veeva's 2024 Pulse Field Trends Report found that more than half of accessible physicians now combine video and in-person engagement, with the willingness to meet virtually pulling rep-friendly rates back to roughly 60 percent.</w:t>
      </w:r>
    </w:p>
    <w:p w14:paraId="70CA52C3" w14:textId="77777777" w:rsidR="004A5B71" w:rsidRDefault="00404D1D">
      <w:pPr>
        <w:spacing w:before="160" w:after="80"/>
      </w:pPr>
      <w:r>
        <w:rPr>
          <w:b/>
          <w:bCs/>
          <w:color w:val="2D7A7A"/>
        </w:rPr>
        <w:t>Cleaner data capture</w:t>
      </w:r>
    </w:p>
    <w:p w14:paraId="1CD5E42D" w14:textId="77777777" w:rsidR="004A5B71" w:rsidRDefault="00404D1D">
      <w:pPr>
        <w:spacing w:after="180" w:line="320" w:lineRule="auto"/>
        <w:jc w:val="both"/>
      </w:pPr>
      <w:r>
        <w:t>Every virtual interaction starts and ends in a CRM. Notes, intent signals, follow-up flags, and compliance markers are captured in real time, not reconstructed from memory at the end of a long day.</w:t>
      </w:r>
    </w:p>
    <w:p w14:paraId="549F4406" w14:textId="77777777" w:rsidR="004A5B71" w:rsidRDefault="00404D1D">
      <w:pPr>
        <w:spacing w:before="160" w:after="80"/>
      </w:pPr>
      <w:r>
        <w:rPr>
          <w:b/>
          <w:bCs/>
          <w:color w:val="2D7A7A"/>
        </w:rPr>
        <w:t>Faster ramp for new launches</w:t>
      </w:r>
    </w:p>
    <w:p w14:paraId="7D01846D" w14:textId="77777777" w:rsidR="004A5B71" w:rsidRDefault="00404D1D">
      <w:pPr>
        <w:spacing w:after="180" w:line="320" w:lineRule="auto"/>
        <w:jc w:val="both"/>
      </w:pPr>
      <w:r>
        <w:t>Field hiring lags market timing by quarters. Virtual sales programs can scale in weeks, which matters disproportionately during launch windows, label expansions, and competitive responses.</w:t>
      </w:r>
    </w:p>
    <w:p w14:paraId="3E42392B" w14:textId="77777777" w:rsidR="004A5B71" w:rsidRDefault="00404D1D">
      <w:pPr>
        <w:spacing w:before="280" w:after="140"/>
      </w:pPr>
      <w:r>
        <w:rPr>
          <w:rFonts w:ascii="Playfair Display" w:eastAsia="Playfair Display" w:hAnsi="Playfair Display" w:cs="Playfair Display"/>
          <w:b/>
          <w:bCs/>
          <w:color w:val="1A365D"/>
          <w:sz w:val="26"/>
          <w:szCs w:val="26"/>
        </w:rPr>
        <w:lastRenderedPageBreak/>
        <w:t>What VSRs cannot solve on their own</w:t>
      </w:r>
    </w:p>
    <w:p w14:paraId="0D97EBEF" w14:textId="77777777" w:rsidR="004A5B71" w:rsidRDefault="00404D1D">
      <w:pPr>
        <w:spacing w:after="180" w:line="320" w:lineRule="auto"/>
        <w:jc w:val="both"/>
      </w:pPr>
      <w:r>
        <w:t>Virtual sales representatives still face the same gatekeeping front desks, the same crowded inboxes, and the same "I have three minutes" reality as their field counterparts. A representative is still a representative, and a representative has finite hours.</w:t>
      </w:r>
    </w:p>
    <w:p w14:paraId="1842E3FA" w14:textId="77777777" w:rsidR="004A5B71" w:rsidRDefault="00404D1D">
      <w:pPr>
        <w:pStyle w:val="ListParagraph"/>
        <w:numPr>
          <w:ilvl w:val="0"/>
          <w:numId w:val="2"/>
        </w:numPr>
        <w:spacing w:after="100" w:line="300" w:lineRule="auto"/>
      </w:pPr>
      <w:r>
        <w:t>After-hours and weekend inbound volume goes unanswered.</w:t>
      </w:r>
    </w:p>
    <w:p w14:paraId="5930B17B" w14:textId="77777777" w:rsidR="004A5B71" w:rsidRDefault="00404D1D">
      <w:pPr>
        <w:pStyle w:val="ListParagraph"/>
        <w:numPr>
          <w:ilvl w:val="0"/>
          <w:numId w:val="2"/>
        </w:numPr>
        <w:spacing w:after="100" w:line="300" w:lineRule="auto"/>
      </w:pPr>
      <w:r>
        <w:t>Real-time clinical questions cannot be routed to licensed clinicians without a separate infrastructure.</w:t>
      </w:r>
    </w:p>
    <w:p w14:paraId="3C159659" w14:textId="77777777" w:rsidR="004A5B71" w:rsidRDefault="00404D1D">
      <w:pPr>
        <w:pStyle w:val="ListParagraph"/>
        <w:numPr>
          <w:ilvl w:val="0"/>
          <w:numId w:val="2"/>
        </w:numPr>
        <w:spacing w:after="100" w:line="300" w:lineRule="auto"/>
      </w:pPr>
      <w:r>
        <w:t xml:space="preserve">Outbound cadence </w:t>
      </w:r>
      <w:proofErr w:type="gramStart"/>
      <w:r>
        <w:t>has to</w:t>
      </w:r>
      <w:proofErr w:type="gramEnd"/>
      <w:r>
        <w:t xml:space="preserve"> be set manually, usually from a flat call list.</w:t>
      </w:r>
    </w:p>
    <w:p w14:paraId="2335A5EE" w14:textId="77777777" w:rsidR="004A5B71" w:rsidRDefault="00404D1D">
      <w:pPr>
        <w:pStyle w:val="ListParagraph"/>
        <w:numPr>
          <w:ilvl w:val="0"/>
          <w:numId w:val="2"/>
        </w:numPr>
        <w:spacing w:after="100" w:line="300" w:lineRule="auto"/>
      </w:pPr>
      <w:r>
        <w:t>Volume scaling requires proportional headcount.</w:t>
      </w:r>
    </w:p>
    <w:p w14:paraId="5C2B6DE1" w14:textId="77777777" w:rsidR="004A5B71" w:rsidRDefault="00404D1D">
      <w:pPr>
        <w:pStyle w:val="ListParagraph"/>
        <w:numPr>
          <w:ilvl w:val="0"/>
          <w:numId w:val="2"/>
        </w:numPr>
        <w:spacing w:after="100" w:line="300" w:lineRule="auto"/>
      </w:pPr>
      <w:r>
        <w:t>The "intelligence" of which physician to engage at which moment is left to the representative's judgment alone.</w:t>
      </w:r>
    </w:p>
    <w:p w14:paraId="09234974" w14:textId="77777777" w:rsidR="004A5B71" w:rsidRDefault="004A5B71">
      <w:pPr>
        <w:spacing w:after="160"/>
      </w:pPr>
    </w:p>
    <w:p w14:paraId="29C58C28" w14:textId="77777777" w:rsidR="004A5B71" w:rsidRDefault="00404D1D">
      <w:pPr>
        <w:spacing w:after="180" w:line="320" w:lineRule="auto"/>
        <w:jc w:val="both"/>
      </w:pPr>
      <w:r>
        <w:t>These are not failures of the virtual sales model. They are limits of any human-only engagement system. The solution is not to replace the human. It is to add the layer the human cannot be.</w:t>
      </w:r>
    </w:p>
    <w:p w14:paraId="1A9EAA08" w14:textId="77777777" w:rsidR="004A5B71" w:rsidRDefault="00404D1D">
      <w:pPr>
        <w:spacing w:before="240" w:after="60"/>
      </w:pPr>
      <w:r>
        <w:rPr>
          <w:b/>
          <w:bCs/>
          <w:color w:val="2D7A7A"/>
          <w:spacing w:val="40"/>
          <w:sz w:val="18"/>
          <w:szCs w:val="18"/>
        </w:rPr>
        <w:t>PART THREE</w:t>
      </w:r>
    </w:p>
    <w:p w14:paraId="53EDC408"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AI-Integrated Agents: the system half</w:t>
      </w:r>
    </w:p>
    <w:p w14:paraId="6386398D" w14:textId="77777777" w:rsidR="004A5B71" w:rsidRDefault="00404D1D">
      <w:pPr>
        <w:spacing w:after="180" w:line="320" w:lineRule="auto"/>
        <w:jc w:val="both"/>
      </w:pPr>
      <w:r>
        <w:t xml:space="preserve">The phrase "AI agent" has been broadly diluted in pharmaceutical marketing. In a </w:t>
      </w:r>
      <w:proofErr w:type="gramStart"/>
      <w:r>
        <w:t>contact center context</w:t>
      </w:r>
      <w:proofErr w:type="gramEnd"/>
      <w:r>
        <w:t>, an AI-Integrated Agent is a specific category of system: one that can converse in natural language in real time, retrieve information from an approved knowledge base, capture structured data from the conversation, and route to a human at the appropriate point. It is not a static content recommender. It is not an automated email cadence. It is not a chatbot dropped on a website.</w:t>
      </w:r>
    </w:p>
    <w:p w14:paraId="2F5ABD7A" w14:textId="77777777" w:rsidR="004A5B71" w:rsidRDefault="00404D1D">
      <w:pPr>
        <w:spacing w:after="180" w:line="320" w:lineRule="auto"/>
        <w:jc w:val="both"/>
      </w:pPr>
      <w:r>
        <w:t>Four capabilities matter for pharmaceutical deployments.</w:t>
      </w:r>
    </w:p>
    <w:p w14:paraId="4723B056" w14:textId="77777777" w:rsidR="004A5B71" w:rsidRDefault="00404D1D">
      <w:pPr>
        <w:spacing w:before="160" w:after="80"/>
      </w:pPr>
      <w:r>
        <w:rPr>
          <w:b/>
          <w:bCs/>
          <w:color w:val="2D7A7A"/>
        </w:rPr>
        <w:t>Always-on inbound handling</w:t>
      </w:r>
    </w:p>
    <w:p w14:paraId="3F30A3DE" w14:textId="77777777" w:rsidR="004A5B71" w:rsidRDefault="00404D1D">
      <w:pPr>
        <w:spacing w:after="180" w:line="320" w:lineRule="auto"/>
        <w:jc w:val="both"/>
      </w:pPr>
      <w:r>
        <w:t>When an HCP's office calls back after hours, when a sample request arrives at 9:42 p.m., when a question about dosing for a comorbid patient comes in during a Saturday clinic — the AI agent answers immediately, delivers an approved response, and either resolves the request or hands it cleanly to a representative on Monday with full context already captured. The interaction does not die in a voicemail box.</w:t>
      </w:r>
    </w:p>
    <w:p w14:paraId="480B4035" w14:textId="77777777" w:rsidR="004A5B71" w:rsidRDefault="00404D1D">
      <w:pPr>
        <w:spacing w:before="160" w:after="80"/>
      </w:pPr>
      <w:r>
        <w:rPr>
          <w:b/>
          <w:bCs/>
          <w:color w:val="2D7A7A"/>
        </w:rPr>
        <w:lastRenderedPageBreak/>
        <w:t>Intelligent outbound cadence</w:t>
      </w:r>
    </w:p>
    <w:p w14:paraId="72AB12CF" w14:textId="77777777" w:rsidR="004A5B71" w:rsidRDefault="00404D1D">
      <w:pPr>
        <w:spacing w:after="180" w:line="320" w:lineRule="auto"/>
        <w:jc w:val="both"/>
      </w:pPr>
      <w:r>
        <w:t>Instead of a virtual rep dialing through a flat list, the AI layer prioritizes outreach based on signals — recent prescriber behavior, formulary changes at the practice, payer-mix shifts, the physician's documented preferences for time and channel. The representative spends more time talking to the HCPs most likely to engage, and less time clearing volume.</w:t>
      </w:r>
    </w:p>
    <w:p w14:paraId="27FD7C12" w14:textId="77777777" w:rsidR="004A5B71" w:rsidRDefault="00404D1D">
      <w:pPr>
        <w:spacing w:before="160" w:after="80"/>
      </w:pPr>
      <w:r>
        <w:rPr>
          <w:b/>
          <w:bCs/>
          <w:color w:val="2D7A7A"/>
        </w:rPr>
        <w:t>Consistent structured data capture</w:t>
      </w:r>
    </w:p>
    <w:p w14:paraId="428D9588" w14:textId="77777777" w:rsidR="004A5B71" w:rsidRDefault="00404D1D">
      <w:pPr>
        <w:spacing w:after="180" w:line="320" w:lineRule="auto"/>
        <w:jc w:val="both"/>
      </w:pPr>
      <w:r>
        <w:t>Every interaction generates structured records — notes, intent classifications, follow-up flags, compliance markers — captured automatically and dropped into CRM without after-hours admin work. The downstream effect is significant: cleaner data means more accurate next-best-action models, more reliable segmentation, and audit trails that hold up under scrutiny.</w:t>
      </w:r>
    </w:p>
    <w:p w14:paraId="4CAE57D3" w14:textId="77777777" w:rsidR="004A5B71" w:rsidRDefault="00404D1D">
      <w:pPr>
        <w:spacing w:before="160" w:after="80"/>
      </w:pPr>
      <w:r>
        <w:rPr>
          <w:b/>
          <w:bCs/>
          <w:color w:val="2D7A7A"/>
        </w:rPr>
        <w:t>Live co-pilot during conversations</w:t>
      </w:r>
    </w:p>
    <w:p w14:paraId="576C1630" w14:textId="77777777" w:rsidR="004A5B71" w:rsidRDefault="00404D1D">
      <w:pPr>
        <w:spacing w:after="180" w:line="320" w:lineRule="auto"/>
        <w:jc w:val="both"/>
      </w:pPr>
      <w:r>
        <w:t xml:space="preserve">A virtual representative is on a call with a nurse practitioner asking about a specific patient profile. The AI agent surfaces approved material in real time, references the previous month's question, and suggests the next-best-action — without the rep breaking the rhythm of the conversation. This is the layer that </w:t>
      </w:r>
      <w:proofErr w:type="gramStart"/>
      <w:r>
        <w:t>the roughly</w:t>
      </w:r>
      <w:proofErr w:type="gramEnd"/>
      <w:r>
        <w:t xml:space="preserve"> two-thirds of physicians now using AI daily already expect their own clinical tools to provide. Recent commercial research has associated agentic, next-best-action AI systems with materially higher new-prescription lift when properly built on clean data.</w:t>
      </w:r>
    </w:p>
    <w:p w14:paraId="689C15CA" w14:textId="77777777" w:rsidR="004A5B71" w:rsidRDefault="00404D1D">
      <w:pPr>
        <w:spacing w:after="180" w:line="320" w:lineRule="auto"/>
        <w:jc w:val="both"/>
      </w:pPr>
      <w:r>
        <w:t>The hybrid value does not come from any single one of these four capabilities. It comes from the interaction between them and a competent human representative. An AI agent keeps the relationship alive between rep touchpoints. A representative builds the relationship the AI cannot. Neither side replaces the other.</w:t>
      </w:r>
    </w:p>
    <w:p w14:paraId="46FCC4DE" w14:textId="77777777" w:rsidR="004A5B71" w:rsidRDefault="00404D1D">
      <w:pPr>
        <w:spacing w:before="240" w:after="60"/>
      </w:pPr>
      <w:r>
        <w:rPr>
          <w:b/>
          <w:bCs/>
          <w:color w:val="2D7A7A"/>
          <w:spacing w:val="40"/>
          <w:sz w:val="18"/>
          <w:szCs w:val="18"/>
        </w:rPr>
        <w:t>PART FOUR</w:t>
      </w:r>
    </w:p>
    <w:p w14:paraId="6A19545C"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The hybrid model in practice</w:t>
      </w:r>
    </w:p>
    <w:p w14:paraId="68C633D9" w14:textId="77777777" w:rsidR="004A5B71" w:rsidRDefault="00404D1D">
      <w:pPr>
        <w:spacing w:after="180" w:line="320" w:lineRule="auto"/>
        <w:jc w:val="both"/>
      </w:pPr>
      <w:r>
        <w:t>Description is easier than execution. The model is straightforward to describe: a Virtual Sales Representative remains the primary relationship owner for a given HCP or account, while an AI-Integrated Agent operates as an always-on companion — answering after-hours calls, qualifying inbound interest, handling routine requests, prepping the rep before scheduled calls, and following up afterward with the agreed-upon next step. When a clinical question exceeds what the agent should answer — and there are categ</w:t>
      </w:r>
      <w:r>
        <w:t xml:space="preserve">ories where that line must be </w:t>
      </w:r>
      <w:r>
        <w:lastRenderedPageBreak/>
        <w:t>firmly drawn — the call routes to a licensed nurse for triage or to the appropriate medical affairs contact.</w:t>
      </w:r>
    </w:p>
    <w:p w14:paraId="16BFF14A" w14:textId="77777777" w:rsidR="004A5B71" w:rsidRDefault="00404D1D">
      <w:pPr>
        <w:spacing w:after="180" w:line="320" w:lineRule="auto"/>
        <w:jc w:val="both"/>
      </w:pPr>
      <w:r>
        <w:t>Here is what a typical 72-hour engagement looks like in deployment.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A5B71" w14:paraId="440BCB99" w14:textId="77777777">
        <w:tblPrEx>
          <w:tblCellMar>
            <w:top w:w="0" w:type="dxa"/>
            <w:bottom w:w="0" w:type="dxa"/>
          </w:tblCellMar>
        </w:tblPrEx>
        <w:tc>
          <w:tcPr>
            <w:tcW w:w="9360" w:type="dxa"/>
            <w:tcBorders>
              <w:top w:val="none" w:sz="0" w:space="0" w:color="FFFFFF"/>
              <w:left w:val="single" w:sz="36" w:space="0" w:color="C8A951"/>
              <w:bottom w:val="none" w:sz="0" w:space="0" w:color="FFFFFF"/>
              <w:right w:val="none" w:sz="0" w:space="0" w:color="FFFFFF"/>
            </w:tcBorders>
            <w:shd w:val="clear" w:color="auto" w:fill="E8F1F1"/>
            <w:tcMar>
              <w:top w:w="280" w:type="dxa"/>
              <w:left w:w="360" w:type="dxa"/>
              <w:bottom w:w="280" w:type="dxa"/>
              <w:right w:w="360" w:type="dxa"/>
            </w:tcMar>
          </w:tcPr>
          <w:p w14:paraId="5C98551C" w14:textId="77777777" w:rsidR="004A5B71" w:rsidRDefault="00404D1D">
            <w:pPr>
              <w:spacing w:after="200"/>
            </w:pPr>
            <w:r>
              <w:rPr>
                <w:b/>
                <w:bCs/>
                <w:color w:val="2D7A7A"/>
                <w:spacing w:val="40"/>
                <w:sz w:val="18"/>
                <w:szCs w:val="18"/>
              </w:rPr>
              <w:t>SAMPLE WORKFLOW  |  COMMUNITY ONCOLOGY PRACTICE</w:t>
            </w:r>
          </w:p>
          <w:p w14:paraId="5B05F9F9" w14:textId="77777777" w:rsidR="004A5B71" w:rsidRDefault="00404D1D">
            <w:pPr>
              <w:spacing w:after="120" w:line="320" w:lineRule="auto"/>
            </w:pPr>
            <w:r>
              <w:rPr>
                <w:b/>
                <w:bCs/>
                <w:color w:val="1A365D"/>
              </w:rPr>
              <w:t xml:space="preserve">Day 1, 7:14 a.m.  </w:t>
            </w:r>
            <w:r>
              <w:t xml:space="preserve">A nurse practitioner from a community oncology practice calls the manufacturer line about a sample request and a dosing question for a comorbid patient. The AI-Integrated Agent answers, confirms practice status, routes the sample request to fulfillment, and escalates the dosing question. Because clinical judgment is required, the call routes to Nurse on Demand. A registered nurse, operating under Schmitt-Thompson protocols, handles </w:t>
            </w:r>
            <w:proofErr w:type="gramStart"/>
            <w:r>
              <w:t>the clinical</w:t>
            </w:r>
            <w:proofErr w:type="gramEnd"/>
            <w:r>
              <w:t xml:space="preserve"> conversation and flags the interaction for next-day representat</w:t>
            </w:r>
            <w:r>
              <w:t>ive follow-up.</w:t>
            </w:r>
          </w:p>
          <w:p w14:paraId="0F53A764" w14:textId="77777777" w:rsidR="004A5B71" w:rsidRDefault="00404D1D">
            <w:pPr>
              <w:spacing w:after="120" w:line="320" w:lineRule="auto"/>
            </w:pPr>
            <w:r>
              <w:rPr>
                <w:b/>
                <w:bCs/>
                <w:color w:val="1A365D"/>
              </w:rPr>
              <w:t xml:space="preserve">Day 1, 9:30 a.m.  </w:t>
            </w:r>
            <w:r>
              <w:t>The Virtual Sales Representative assigned to that practice receives a CRM-integrated brief with the full transcript, the nurse's clinical notes, and three suggested next-</w:t>
            </w:r>
            <w:proofErr w:type="gramStart"/>
            <w:r>
              <w:t>best-actions</w:t>
            </w:r>
            <w:proofErr w:type="gramEnd"/>
            <w:r>
              <w:t xml:space="preserve"> ranked by recent engagement signal.</w:t>
            </w:r>
          </w:p>
          <w:p w14:paraId="17496A51" w14:textId="77777777" w:rsidR="004A5B71" w:rsidRDefault="00404D1D">
            <w:pPr>
              <w:spacing w:after="120" w:line="320" w:lineRule="auto"/>
            </w:pPr>
            <w:r>
              <w:rPr>
                <w:b/>
                <w:bCs/>
                <w:color w:val="1A365D"/>
              </w:rPr>
              <w:t xml:space="preserve">Day 2, 11:15 a.m.  </w:t>
            </w:r>
            <w:r>
              <w:t xml:space="preserve">The representative </w:t>
            </w:r>
            <w:proofErr w:type="gramStart"/>
            <w:r>
              <w:t>places</w:t>
            </w:r>
            <w:proofErr w:type="gramEnd"/>
            <w:r>
              <w:t xml:space="preserve"> </w:t>
            </w:r>
            <w:proofErr w:type="spellStart"/>
            <w:r>
              <w:t>an</w:t>
            </w:r>
            <w:proofErr w:type="spellEnd"/>
            <w:r>
              <w:t xml:space="preserve"> outbound call. The AI co-pilot surfaces approved content during the conversation. The rep schedules a follow-up touchpoint and confirms a peer-to-peer program invitation for the prescriber.</w:t>
            </w:r>
          </w:p>
          <w:p w14:paraId="768067BC" w14:textId="77777777" w:rsidR="004A5B71" w:rsidRDefault="00404D1D">
            <w:pPr>
              <w:spacing w:after="200" w:line="320" w:lineRule="auto"/>
            </w:pPr>
            <w:r>
              <w:rPr>
                <w:b/>
                <w:bCs/>
                <w:color w:val="1A365D"/>
              </w:rPr>
              <w:t xml:space="preserve">Day 3.  </w:t>
            </w:r>
            <w:r>
              <w:t>The AI-Integrated Agent delivers the agreed follow-up materials, captures confirmation of receipt, and logs the interaction for compliance review. The CRM record is closed with a clean audit trail.</w:t>
            </w:r>
          </w:p>
          <w:p w14:paraId="37188DFC" w14:textId="77777777" w:rsidR="004A5B71" w:rsidRDefault="00404D1D">
            <w:pPr>
              <w:pBdr>
                <w:top w:val="single" w:sz="6" w:space="8" w:color="C8A951"/>
              </w:pBdr>
              <w:spacing w:before="200" w:line="320" w:lineRule="auto"/>
            </w:pPr>
            <w:r>
              <w:rPr>
                <w:b/>
                <w:bCs/>
                <w:color w:val="2D7A7A"/>
                <w:sz w:val="21"/>
                <w:szCs w:val="21"/>
              </w:rPr>
              <w:t xml:space="preserve">What this replaced:  </w:t>
            </w:r>
            <w:r>
              <w:rPr>
                <w:i/>
                <w:iCs/>
                <w:sz w:val="21"/>
                <w:szCs w:val="21"/>
              </w:rPr>
              <w:t>A field representative visit attempted at 10:00 a.m. on a Tuesday, declined at the front desk, with no documented follow-up.</w:t>
            </w:r>
          </w:p>
        </w:tc>
      </w:tr>
    </w:tbl>
    <w:p w14:paraId="138E7843" w14:textId="77777777" w:rsidR="004A5B71" w:rsidRDefault="004A5B71">
      <w:pPr>
        <w:spacing w:after="280"/>
      </w:pPr>
    </w:p>
    <w:p w14:paraId="5BA86759" w14:textId="77777777" w:rsidR="004A5B71" w:rsidRDefault="00404D1D">
      <w:pPr>
        <w:spacing w:before="280" w:after="140"/>
      </w:pPr>
      <w:r>
        <w:rPr>
          <w:rFonts w:ascii="Playfair Display" w:eastAsia="Playfair Display" w:hAnsi="Playfair Display" w:cs="Playfair Display"/>
          <w:b/>
          <w:bCs/>
          <w:color w:val="1A365D"/>
          <w:sz w:val="26"/>
          <w:szCs w:val="26"/>
        </w:rPr>
        <w:t>How the hybrid compares to single-channel models</w:t>
      </w:r>
    </w:p>
    <w:p w14:paraId="6691A655" w14:textId="77777777" w:rsidR="004A5B71" w:rsidRDefault="00404D1D">
      <w:pPr>
        <w:spacing w:after="180" w:line="320" w:lineRule="auto"/>
        <w:jc w:val="both"/>
      </w:pPr>
      <w:r>
        <w:t>The differences become concrete in a side-by-side comparison.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A5B71" w14:paraId="6416B1BA" w14:textId="77777777">
        <w:tblPrEx>
          <w:tblCellMar>
            <w:top w:w="0" w:type="dxa"/>
            <w:bottom w:w="0" w:type="dxa"/>
          </w:tblCellMar>
        </w:tblPrEx>
        <w:trPr>
          <w:tblHeader/>
        </w:trPr>
        <w:tc>
          <w:tcPr>
            <w:tcW w:w="2340" w:type="dxa"/>
            <w:tcBorders>
              <w:top w:val="single" w:sz="4" w:space="0" w:color="1A365D"/>
              <w:left w:val="single" w:sz="4" w:space="0" w:color="1A365D"/>
              <w:bottom w:val="single" w:sz="4" w:space="0" w:color="1A365D"/>
              <w:right w:val="single" w:sz="4" w:space="0" w:color="FFFFFF"/>
            </w:tcBorders>
            <w:shd w:val="clear" w:color="auto" w:fill="1A365D"/>
            <w:tcMar>
              <w:top w:w="160" w:type="dxa"/>
              <w:left w:w="180" w:type="dxa"/>
              <w:bottom w:w="160" w:type="dxa"/>
              <w:right w:w="180" w:type="dxa"/>
            </w:tcMar>
          </w:tcPr>
          <w:p w14:paraId="7CA70562" w14:textId="77777777" w:rsidR="004A5B71" w:rsidRDefault="004A5B71"/>
        </w:tc>
        <w:tc>
          <w:tcPr>
            <w:tcW w:w="2340" w:type="dxa"/>
            <w:tcBorders>
              <w:top w:val="single" w:sz="4" w:space="0" w:color="1A365D"/>
              <w:left w:val="single" w:sz="4" w:space="0" w:color="FFFFFF"/>
              <w:bottom w:val="single" w:sz="4" w:space="0" w:color="1A365D"/>
              <w:right w:val="single" w:sz="4" w:space="0" w:color="FFFFFF"/>
            </w:tcBorders>
            <w:shd w:val="clear" w:color="auto" w:fill="1A365D"/>
            <w:tcMar>
              <w:top w:w="160" w:type="dxa"/>
              <w:left w:w="180" w:type="dxa"/>
              <w:bottom w:w="160" w:type="dxa"/>
              <w:right w:w="180" w:type="dxa"/>
            </w:tcMar>
          </w:tcPr>
          <w:p w14:paraId="2E868022" w14:textId="77777777" w:rsidR="004A5B71" w:rsidRDefault="00404D1D">
            <w:pPr>
              <w:jc w:val="center"/>
            </w:pPr>
            <w:r>
              <w:rPr>
                <w:b/>
                <w:bCs/>
                <w:color w:val="FFFFFF"/>
                <w:spacing w:val="20"/>
                <w:sz w:val="18"/>
                <w:szCs w:val="18"/>
              </w:rPr>
              <w:t>Field Rep Only</w:t>
            </w:r>
          </w:p>
        </w:tc>
        <w:tc>
          <w:tcPr>
            <w:tcW w:w="2340" w:type="dxa"/>
            <w:tcBorders>
              <w:top w:val="single" w:sz="4" w:space="0" w:color="1A365D"/>
              <w:left w:val="single" w:sz="4" w:space="0" w:color="FFFFFF"/>
              <w:bottom w:val="single" w:sz="4" w:space="0" w:color="1A365D"/>
              <w:right w:val="single" w:sz="4" w:space="0" w:color="FFFFFF"/>
            </w:tcBorders>
            <w:shd w:val="clear" w:color="auto" w:fill="1A365D"/>
            <w:tcMar>
              <w:top w:w="160" w:type="dxa"/>
              <w:left w:w="180" w:type="dxa"/>
              <w:bottom w:w="160" w:type="dxa"/>
              <w:right w:w="180" w:type="dxa"/>
            </w:tcMar>
          </w:tcPr>
          <w:p w14:paraId="78EE51D2" w14:textId="77777777" w:rsidR="004A5B71" w:rsidRDefault="00404D1D">
            <w:pPr>
              <w:jc w:val="center"/>
            </w:pPr>
            <w:r>
              <w:rPr>
                <w:b/>
                <w:bCs/>
                <w:color w:val="FFFFFF"/>
                <w:spacing w:val="20"/>
                <w:sz w:val="18"/>
                <w:szCs w:val="18"/>
              </w:rPr>
              <w:t>Virtual Rep Only</w:t>
            </w:r>
          </w:p>
        </w:tc>
        <w:tc>
          <w:tcPr>
            <w:tcW w:w="2340" w:type="dxa"/>
            <w:tcBorders>
              <w:top w:val="single" w:sz="4" w:space="0" w:color="1A365D"/>
              <w:left w:val="single" w:sz="4" w:space="0" w:color="FFFFFF"/>
              <w:bottom w:val="single" w:sz="4" w:space="0" w:color="1A365D"/>
              <w:right w:val="single" w:sz="4" w:space="0" w:color="FFFFFF"/>
            </w:tcBorders>
            <w:shd w:val="clear" w:color="auto" w:fill="1A365D"/>
            <w:tcMar>
              <w:top w:w="160" w:type="dxa"/>
              <w:left w:w="180" w:type="dxa"/>
              <w:bottom w:w="160" w:type="dxa"/>
              <w:right w:w="180" w:type="dxa"/>
            </w:tcMar>
          </w:tcPr>
          <w:p w14:paraId="69C5CB57" w14:textId="77777777" w:rsidR="004A5B71" w:rsidRDefault="00404D1D">
            <w:pPr>
              <w:jc w:val="center"/>
            </w:pPr>
            <w:r>
              <w:rPr>
                <w:b/>
                <w:bCs/>
                <w:color w:val="FFFFFF"/>
                <w:spacing w:val="20"/>
                <w:sz w:val="18"/>
                <w:szCs w:val="18"/>
              </w:rPr>
              <w:t>Hybrid Model</w:t>
            </w:r>
          </w:p>
        </w:tc>
      </w:tr>
      <w:tr w:rsidR="004A5B71" w14:paraId="32956175"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55AD26B4" w14:textId="77777777" w:rsidR="004A5B71" w:rsidRDefault="00404D1D">
            <w:r>
              <w:rPr>
                <w:b/>
                <w:bCs/>
                <w:sz w:val="20"/>
                <w:szCs w:val="20"/>
              </w:rPr>
              <w:t>Cost per contact</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6EB2A413" w14:textId="77777777" w:rsidR="004A5B71" w:rsidRDefault="00404D1D">
            <w:pPr>
              <w:jc w:val="center"/>
            </w:pPr>
            <w:r>
              <w:rPr>
                <w:sz w:val="20"/>
                <w:szCs w:val="20"/>
              </w:rPr>
              <w:t>Highest</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564D6131" w14:textId="77777777" w:rsidR="004A5B71" w:rsidRDefault="00404D1D">
            <w:pPr>
              <w:jc w:val="center"/>
            </w:pPr>
            <w:r>
              <w:rPr>
                <w:sz w:val="20"/>
                <w:szCs w:val="20"/>
              </w:rPr>
              <w:t>40-60% lower</w:t>
            </w:r>
          </w:p>
        </w:tc>
        <w:tc>
          <w:tcPr>
            <w:tcW w:w="2340" w:type="dxa"/>
            <w:tcBorders>
              <w:top w:val="single" w:sz="2" w:space="0" w:color="DDDDDD"/>
              <w:left w:val="single" w:sz="12" w:space="0" w:color="C8A951"/>
              <w:bottom w:val="single" w:sz="2" w:space="0" w:color="DDDDDD"/>
              <w:right w:val="single" w:sz="2" w:space="0" w:color="DDDDDD"/>
            </w:tcBorders>
            <w:shd w:val="clear" w:color="auto" w:fill="FFFFFF"/>
            <w:tcMar>
              <w:top w:w="140" w:type="dxa"/>
              <w:left w:w="180" w:type="dxa"/>
              <w:bottom w:w="140" w:type="dxa"/>
              <w:right w:w="180" w:type="dxa"/>
            </w:tcMar>
          </w:tcPr>
          <w:p w14:paraId="71966B0A" w14:textId="77777777" w:rsidR="004A5B71" w:rsidRDefault="00404D1D">
            <w:pPr>
              <w:jc w:val="center"/>
            </w:pPr>
            <w:r>
              <w:rPr>
                <w:b/>
                <w:bCs/>
                <w:color w:val="1A365D"/>
                <w:sz w:val="20"/>
                <w:szCs w:val="20"/>
              </w:rPr>
              <w:t>40-60% lower</w:t>
            </w:r>
          </w:p>
        </w:tc>
      </w:tr>
      <w:tr w:rsidR="004A5B71" w14:paraId="21FABD96"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27C8A50A" w14:textId="77777777" w:rsidR="004A5B71" w:rsidRDefault="00404D1D">
            <w:r>
              <w:rPr>
                <w:b/>
                <w:bCs/>
                <w:sz w:val="20"/>
                <w:szCs w:val="20"/>
              </w:rPr>
              <w:lastRenderedPageBreak/>
              <w:t>After-hours coverage</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57703AD0" w14:textId="77777777" w:rsidR="004A5B71" w:rsidRDefault="00404D1D">
            <w:pPr>
              <w:jc w:val="center"/>
            </w:pPr>
            <w:r>
              <w:rPr>
                <w:sz w:val="20"/>
                <w:szCs w:val="20"/>
              </w:rPr>
              <w:t>None</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078D10A9" w14:textId="77777777" w:rsidR="004A5B71" w:rsidRDefault="00404D1D">
            <w:pPr>
              <w:jc w:val="center"/>
            </w:pPr>
            <w:r>
              <w:rPr>
                <w:sz w:val="20"/>
                <w:szCs w:val="20"/>
              </w:rPr>
              <w:t>Limited</w:t>
            </w:r>
          </w:p>
        </w:tc>
        <w:tc>
          <w:tcPr>
            <w:tcW w:w="2340" w:type="dxa"/>
            <w:tcBorders>
              <w:top w:val="single" w:sz="2" w:space="0" w:color="DDDDDD"/>
              <w:left w:val="single" w:sz="12" w:space="0" w:color="C8A951"/>
              <w:bottom w:val="single" w:sz="2" w:space="0" w:color="DDDDDD"/>
              <w:right w:val="single" w:sz="2" w:space="0" w:color="DDDDDD"/>
            </w:tcBorders>
            <w:shd w:val="clear" w:color="auto" w:fill="F4F2EC"/>
            <w:tcMar>
              <w:top w:w="140" w:type="dxa"/>
              <w:left w:w="180" w:type="dxa"/>
              <w:bottom w:w="140" w:type="dxa"/>
              <w:right w:w="180" w:type="dxa"/>
            </w:tcMar>
          </w:tcPr>
          <w:p w14:paraId="49C4E7BB" w14:textId="77777777" w:rsidR="004A5B71" w:rsidRDefault="00404D1D">
            <w:pPr>
              <w:jc w:val="center"/>
            </w:pPr>
            <w:r>
              <w:rPr>
                <w:b/>
                <w:bCs/>
                <w:color w:val="1A365D"/>
                <w:sz w:val="20"/>
                <w:szCs w:val="20"/>
              </w:rPr>
              <w:t>24/7</w:t>
            </w:r>
          </w:p>
        </w:tc>
      </w:tr>
      <w:tr w:rsidR="004A5B71" w14:paraId="51B92DC7"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2B47F65D" w14:textId="77777777" w:rsidR="004A5B71" w:rsidRDefault="00404D1D">
            <w:r>
              <w:rPr>
                <w:b/>
                <w:bCs/>
                <w:sz w:val="20"/>
                <w:szCs w:val="20"/>
              </w:rPr>
              <w:t>Bilingual at scale</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02C32395" w14:textId="77777777" w:rsidR="004A5B71" w:rsidRDefault="00404D1D">
            <w:pPr>
              <w:jc w:val="center"/>
            </w:pPr>
            <w:r>
              <w:rPr>
                <w:sz w:val="20"/>
                <w:szCs w:val="20"/>
              </w:rPr>
              <w:t>Difficult</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1338BDC9" w14:textId="77777777" w:rsidR="004A5B71" w:rsidRDefault="00404D1D">
            <w:pPr>
              <w:jc w:val="center"/>
            </w:pPr>
            <w:r>
              <w:rPr>
                <w:sz w:val="20"/>
                <w:szCs w:val="20"/>
              </w:rPr>
              <w:t>Native</w:t>
            </w:r>
          </w:p>
        </w:tc>
        <w:tc>
          <w:tcPr>
            <w:tcW w:w="2340" w:type="dxa"/>
            <w:tcBorders>
              <w:top w:val="single" w:sz="2" w:space="0" w:color="DDDDDD"/>
              <w:left w:val="single" w:sz="12" w:space="0" w:color="C8A951"/>
              <w:bottom w:val="single" w:sz="2" w:space="0" w:color="DDDDDD"/>
              <w:right w:val="single" w:sz="2" w:space="0" w:color="DDDDDD"/>
            </w:tcBorders>
            <w:shd w:val="clear" w:color="auto" w:fill="FFFFFF"/>
            <w:tcMar>
              <w:top w:w="140" w:type="dxa"/>
              <w:left w:w="180" w:type="dxa"/>
              <w:bottom w:w="140" w:type="dxa"/>
              <w:right w:w="180" w:type="dxa"/>
            </w:tcMar>
          </w:tcPr>
          <w:p w14:paraId="02D57369" w14:textId="77777777" w:rsidR="004A5B71" w:rsidRDefault="00404D1D">
            <w:pPr>
              <w:jc w:val="center"/>
            </w:pPr>
            <w:r>
              <w:rPr>
                <w:b/>
                <w:bCs/>
                <w:color w:val="1A365D"/>
                <w:sz w:val="20"/>
                <w:szCs w:val="20"/>
              </w:rPr>
              <w:t>Native</w:t>
            </w:r>
          </w:p>
        </w:tc>
      </w:tr>
      <w:tr w:rsidR="004A5B71" w14:paraId="1E63A17F"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481E12B2" w14:textId="77777777" w:rsidR="004A5B71" w:rsidRDefault="00404D1D">
            <w:r>
              <w:rPr>
                <w:b/>
                <w:bCs/>
                <w:sz w:val="20"/>
                <w:szCs w:val="20"/>
              </w:rPr>
              <w:t>Clinical escalation</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44C01A9E" w14:textId="77777777" w:rsidR="004A5B71" w:rsidRDefault="00404D1D">
            <w:pPr>
              <w:jc w:val="center"/>
            </w:pPr>
            <w:r>
              <w:rPr>
                <w:sz w:val="20"/>
                <w:szCs w:val="20"/>
              </w:rPr>
              <w:t>Rep judgment</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18CA0514" w14:textId="77777777" w:rsidR="004A5B71" w:rsidRDefault="00404D1D">
            <w:pPr>
              <w:jc w:val="center"/>
            </w:pPr>
            <w:r>
              <w:rPr>
                <w:sz w:val="20"/>
                <w:szCs w:val="20"/>
              </w:rPr>
              <w:t>Rep judgment</w:t>
            </w:r>
          </w:p>
        </w:tc>
        <w:tc>
          <w:tcPr>
            <w:tcW w:w="2340" w:type="dxa"/>
            <w:tcBorders>
              <w:top w:val="single" w:sz="2" w:space="0" w:color="DDDDDD"/>
              <w:left w:val="single" w:sz="12" w:space="0" w:color="C8A951"/>
              <w:bottom w:val="single" w:sz="2" w:space="0" w:color="DDDDDD"/>
              <w:right w:val="single" w:sz="2" w:space="0" w:color="DDDDDD"/>
            </w:tcBorders>
            <w:shd w:val="clear" w:color="auto" w:fill="F4F2EC"/>
            <w:tcMar>
              <w:top w:w="140" w:type="dxa"/>
              <w:left w:w="180" w:type="dxa"/>
              <w:bottom w:w="140" w:type="dxa"/>
              <w:right w:w="180" w:type="dxa"/>
            </w:tcMar>
          </w:tcPr>
          <w:p w14:paraId="19319667" w14:textId="77777777" w:rsidR="004A5B71" w:rsidRDefault="00404D1D">
            <w:pPr>
              <w:jc w:val="center"/>
            </w:pPr>
            <w:r>
              <w:rPr>
                <w:b/>
                <w:bCs/>
                <w:color w:val="1A365D"/>
                <w:sz w:val="20"/>
                <w:szCs w:val="20"/>
              </w:rPr>
              <w:t>Licensed RN</w:t>
            </w:r>
          </w:p>
        </w:tc>
      </w:tr>
      <w:tr w:rsidR="004A5B71" w14:paraId="5BDE9626"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6F3741D3" w14:textId="77777777" w:rsidR="004A5B71" w:rsidRDefault="00404D1D">
            <w:r>
              <w:rPr>
                <w:b/>
                <w:bCs/>
                <w:sz w:val="20"/>
                <w:szCs w:val="20"/>
              </w:rPr>
              <w:t>Data capture</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35E540CD" w14:textId="77777777" w:rsidR="004A5B71" w:rsidRDefault="00404D1D">
            <w:pPr>
              <w:jc w:val="center"/>
            </w:pPr>
            <w:r>
              <w:rPr>
                <w:sz w:val="20"/>
                <w:szCs w:val="20"/>
              </w:rPr>
              <w:t>Reconstructed</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36F3C9C5" w14:textId="77777777" w:rsidR="004A5B71" w:rsidRDefault="00404D1D">
            <w:pPr>
              <w:jc w:val="center"/>
            </w:pPr>
            <w:r>
              <w:rPr>
                <w:sz w:val="20"/>
                <w:szCs w:val="20"/>
              </w:rPr>
              <w:t>CRM-integrated</w:t>
            </w:r>
          </w:p>
        </w:tc>
        <w:tc>
          <w:tcPr>
            <w:tcW w:w="2340" w:type="dxa"/>
            <w:tcBorders>
              <w:top w:val="single" w:sz="2" w:space="0" w:color="DDDDDD"/>
              <w:left w:val="single" w:sz="12" w:space="0" w:color="C8A951"/>
              <w:bottom w:val="single" w:sz="2" w:space="0" w:color="DDDDDD"/>
              <w:right w:val="single" w:sz="2" w:space="0" w:color="DDDDDD"/>
            </w:tcBorders>
            <w:shd w:val="clear" w:color="auto" w:fill="FFFFFF"/>
            <w:tcMar>
              <w:top w:w="140" w:type="dxa"/>
              <w:left w:w="180" w:type="dxa"/>
              <w:bottom w:w="140" w:type="dxa"/>
              <w:right w:w="180" w:type="dxa"/>
            </w:tcMar>
          </w:tcPr>
          <w:p w14:paraId="4190677A" w14:textId="77777777" w:rsidR="004A5B71" w:rsidRDefault="00404D1D">
            <w:pPr>
              <w:jc w:val="center"/>
            </w:pPr>
            <w:r>
              <w:rPr>
                <w:b/>
                <w:bCs/>
                <w:color w:val="1A365D"/>
                <w:sz w:val="20"/>
                <w:szCs w:val="20"/>
              </w:rPr>
              <w:t>Real-time + AI-tagged</w:t>
            </w:r>
          </w:p>
        </w:tc>
      </w:tr>
      <w:tr w:rsidR="004A5B71" w14:paraId="24DC1CBD"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0533200D" w14:textId="77777777" w:rsidR="004A5B71" w:rsidRDefault="00404D1D">
            <w:r>
              <w:rPr>
                <w:b/>
                <w:bCs/>
                <w:sz w:val="20"/>
                <w:szCs w:val="20"/>
              </w:rPr>
              <w:t>Outbound prioritization</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156149F3" w14:textId="77777777" w:rsidR="004A5B71" w:rsidRDefault="00404D1D">
            <w:pPr>
              <w:jc w:val="center"/>
            </w:pPr>
            <w:r>
              <w:rPr>
                <w:sz w:val="20"/>
                <w:szCs w:val="20"/>
              </w:rPr>
              <w:t>Territory map</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505E9DBB" w14:textId="77777777" w:rsidR="004A5B71" w:rsidRDefault="00404D1D">
            <w:pPr>
              <w:jc w:val="center"/>
            </w:pPr>
            <w:r>
              <w:rPr>
                <w:sz w:val="20"/>
                <w:szCs w:val="20"/>
              </w:rPr>
              <w:t>Manual list</w:t>
            </w:r>
          </w:p>
        </w:tc>
        <w:tc>
          <w:tcPr>
            <w:tcW w:w="2340" w:type="dxa"/>
            <w:tcBorders>
              <w:top w:val="single" w:sz="2" w:space="0" w:color="DDDDDD"/>
              <w:left w:val="single" w:sz="12" w:space="0" w:color="C8A951"/>
              <w:bottom w:val="single" w:sz="2" w:space="0" w:color="DDDDDD"/>
              <w:right w:val="single" w:sz="2" w:space="0" w:color="DDDDDD"/>
            </w:tcBorders>
            <w:shd w:val="clear" w:color="auto" w:fill="F4F2EC"/>
            <w:tcMar>
              <w:top w:w="140" w:type="dxa"/>
              <w:left w:w="180" w:type="dxa"/>
              <w:bottom w:w="140" w:type="dxa"/>
              <w:right w:w="180" w:type="dxa"/>
            </w:tcMar>
          </w:tcPr>
          <w:p w14:paraId="58D60073" w14:textId="77777777" w:rsidR="004A5B71" w:rsidRDefault="00404D1D">
            <w:pPr>
              <w:jc w:val="center"/>
            </w:pPr>
            <w:r>
              <w:rPr>
                <w:b/>
                <w:bCs/>
                <w:color w:val="1A365D"/>
                <w:sz w:val="20"/>
                <w:szCs w:val="20"/>
              </w:rPr>
              <w:t>Signal-driven</w:t>
            </w:r>
          </w:p>
        </w:tc>
      </w:tr>
      <w:tr w:rsidR="004A5B71" w14:paraId="4A52D48A"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2B4733C9" w14:textId="77777777" w:rsidR="004A5B71" w:rsidRDefault="00404D1D">
            <w:r>
              <w:rPr>
                <w:b/>
                <w:bCs/>
                <w:sz w:val="20"/>
                <w:szCs w:val="20"/>
              </w:rPr>
              <w:t>Compliance audit trail</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659A778A" w14:textId="77777777" w:rsidR="004A5B71" w:rsidRDefault="00404D1D">
            <w:pPr>
              <w:jc w:val="center"/>
            </w:pPr>
            <w:r>
              <w:rPr>
                <w:sz w:val="20"/>
                <w:szCs w:val="20"/>
              </w:rPr>
              <w:t>Variable</w:t>
            </w:r>
          </w:p>
        </w:tc>
        <w:tc>
          <w:tcPr>
            <w:tcW w:w="2340" w:type="dxa"/>
            <w:tcBorders>
              <w:top w:val="single" w:sz="2" w:space="0" w:color="DDDDDD"/>
              <w:left w:val="single" w:sz="2" w:space="0" w:color="DDDDDD"/>
              <w:bottom w:val="single" w:sz="2" w:space="0" w:color="DDDDDD"/>
              <w:right w:val="single" w:sz="2" w:space="0" w:color="DDDDDD"/>
            </w:tcBorders>
            <w:shd w:val="clear" w:color="auto" w:fill="FFFFFF"/>
            <w:tcMar>
              <w:top w:w="140" w:type="dxa"/>
              <w:left w:w="180" w:type="dxa"/>
              <w:bottom w:w="140" w:type="dxa"/>
              <w:right w:w="180" w:type="dxa"/>
            </w:tcMar>
          </w:tcPr>
          <w:p w14:paraId="71E8DAF2" w14:textId="77777777" w:rsidR="004A5B71" w:rsidRDefault="00404D1D">
            <w:pPr>
              <w:jc w:val="center"/>
            </w:pPr>
            <w:r>
              <w:rPr>
                <w:sz w:val="20"/>
                <w:szCs w:val="20"/>
              </w:rPr>
              <w:t>Strong</w:t>
            </w:r>
          </w:p>
        </w:tc>
        <w:tc>
          <w:tcPr>
            <w:tcW w:w="2340" w:type="dxa"/>
            <w:tcBorders>
              <w:top w:val="single" w:sz="2" w:space="0" w:color="DDDDDD"/>
              <w:left w:val="single" w:sz="12" w:space="0" w:color="C8A951"/>
              <w:bottom w:val="single" w:sz="2" w:space="0" w:color="DDDDDD"/>
              <w:right w:val="single" w:sz="2" w:space="0" w:color="DDDDDD"/>
            </w:tcBorders>
            <w:shd w:val="clear" w:color="auto" w:fill="FFFFFF"/>
            <w:tcMar>
              <w:top w:w="140" w:type="dxa"/>
              <w:left w:w="180" w:type="dxa"/>
              <w:bottom w:w="140" w:type="dxa"/>
              <w:right w:w="180" w:type="dxa"/>
            </w:tcMar>
          </w:tcPr>
          <w:p w14:paraId="0D2472BF" w14:textId="77777777" w:rsidR="004A5B71" w:rsidRDefault="00404D1D">
            <w:pPr>
              <w:jc w:val="center"/>
            </w:pPr>
            <w:r>
              <w:rPr>
                <w:b/>
                <w:bCs/>
                <w:color w:val="1A365D"/>
                <w:sz w:val="20"/>
                <w:szCs w:val="20"/>
              </w:rPr>
              <w:t>Strongest</w:t>
            </w:r>
          </w:p>
        </w:tc>
      </w:tr>
      <w:tr w:rsidR="004A5B71" w14:paraId="4817B00A" w14:textId="77777777">
        <w:tblPrEx>
          <w:tblCellMar>
            <w:top w:w="0" w:type="dxa"/>
            <w:bottom w:w="0" w:type="dxa"/>
          </w:tblCellMar>
        </w:tblPrEx>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66B09317" w14:textId="77777777" w:rsidR="004A5B71" w:rsidRDefault="00404D1D">
            <w:r>
              <w:rPr>
                <w:b/>
                <w:bCs/>
                <w:sz w:val="20"/>
                <w:szCs w:val="20"/>
              </w:rPr>
              <w:t>Scaling for launch</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1F07B4D8" w14:textId="77777777" w:rsidR="004A5B71" w:rsidRDefault="00404D1D">
            <w:pPr>
              <w:jc w:val="center"/>
            </w:pPr>
            <w:r>
              <w:rPr>
                <w:sz w:val="20"/>
                <w:szCs w:val="20"/>
              </w:rPr>
              <w:t>Quarters</w:t>
            </w:r>
          </w:p>
        </w:tc>
        <w:tc>
          <w:tcPr>
            <w:tcW w:w="2340" w:type="dxa"/>
            <w:tcBorders>
              <w:top w:val="single" w:sz="2" w:space="0" w:color="DDDDDD"/>
              <w:left w:val="single" w:sz="2" w:space="0" w:color="DDDDDD"/>
              <w:bottom w:val="single" w:sz="2" w:space="0" w:color="DDDDDD"/>
              <w:right w:val="single" w:sz="2" w:space="0" w:color="DDDDDD"/>
            </w:tcBorders>
            <w:shd w:val="clear" w:color="auto" w:fill="F4F2EC"/>
            <w:tcMar>
              <w:top w:w="140" w:type="dxa"/>
              <w:left w:w="180" w:type="dxa"/>
              <w:bottom w:w="140" w:type="dxa"/>
              <w:right w:w="180" w:type="dxa"/>
            </w:tcMar>
          </w:tcPr>
          <w:p w14:paraId="05B193FF" w14:textId="77777777" w:rsidR="004A5B71" w:rsidRDefault="00404D1D">
            <w:pPr>
              <w:jc w:val="center"/>
            </w:pPr>
            <w:r>
              <w:rPr>
                <w:sz w:val="20"/>
                <w:szCs w:val="20"/>
              </w:rPr>
              <w:t>Weeks</w:t>
            </w:r>
          </w:p>
        </w:tc>
        <w:tc>
          <w:tcPr>
            <w:tcW w:w="2340" w:type="dxa"/>
            <w:tcBorders>
              <w:top w:val="single" w:sz="2" w:space="0" w:color="DDDDDD"/>
              <w:left w:val="single" w:sz="12" w:space="0" w:color="C8A951"/>
              <w:bottom w:val="single" w:sz="2" w:space="0" w:color="DDDDDD"/>
              <w:right w:val="single" w:sz="2" w:space="0" w:color="DDDDDD"/>
            </w:tcBorders>
            <w:shd w:val="clear" w:color="auto" w:fill="F4F2EC"/>
            <w:tcMar>
              <w:top w:w="140" w:type="dxa"/>
              <w:left w:w="180" w:type="dxa"/>
              <w:bottom w:w="140" w:type="dxa"/>
              <w:right w:w="180" w:type="dxa"/>
            </w:tcMar>
          </w:tcPr>
          <w:p w14:paraId="088742BB" w14:textId="77777777" w:rsidR="004A5B71" w:rsidRDefault="00404D1D">
            <w:pPr>
              <w:jc w:val="center"/>
            </w:pPr>
            <w:r>
              <w:rPr>
                <w:b/>
                <w:bCs/>
                <w:color w:val="1A365D"/>
                <w:sz w:val="20"/>
                <w:szCs w:val="20"/>
              </w:rPr>
              <w:t>Weeks</w:t>
            </w:r>
          </w:p>
        </w:tc>
      </w:tr>
    </w:tbl>
    <w:p w14:paraId="4FC93AA3" w14:textId="77777777" w:rsidR="004A5B71" w:rsidRDefault="004A5B71">
      <w:pPr>
        <w:spacing w:after="160"/>
      </w:pPr>
    </w:p>
    <w:p w14:paraId="75DB523C" w14:textId="77777777" w:rsidR="004A5B71" w:rsidRDefault="00404D1D">
      <w:pPr>
        <w:spacing w:before="240" w:after="60"/>
      </w:pPr>
      <w:r>
        <w:rPr>
          <w:b/>
          <w:bCs/>
          <w:color w:val="2D7A7A"/>
          <w:spacing w:val="40"/>
          <w:sz w:val="18"/>
          <w:szCs w:val="18"/>
        </w:rPr>
        <w:t>PART FIVE</w:t>
      </w:r>
    </w:p>
    <w:p w14:paraId="79EEAB86"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Compliance, brand voice, and infrastructure</w:t>
      </w:r>
    </w:p>
    <w:p w14:paraId="54372AE4" w14:textId="77777777" w:rsidR="004A5B71" w:rsidRDefault="00404D1D">
      <w:pPr>
        <w:spacing w:after="180" w:line="320" w:lineRule="auto"/>
        <w:jc w:val="both"/>
      </w:pPr>
      <w:r>
        <w:t xml:space="preserve">When commercial leaders evaluate the hybrid model, three questions surface almost every time. They are the right questions, and </w:t>
      </w:r>
      <w:proofErr w:type="gramStart"/>
      <w:r>
        <w:t>the honest</w:t>
      </w:r>
      <w:proofErr w:type="gramEnd"/>
      <w:r>
        <w:t xml:space="preserve"> answers separate credible programs from risk exposure dressed in technology vocabulary.</w:t>
      </w:r>
    </w:p>
    <w:p w14:paraId="6375465E" w14:textId="77777777" w:rsidR="004A5B71" w:rsidRDefault="00404D1D">
      <w:pPr>
        <w:spacing w:before="160" w:after="80"/>
      </w:pPr>
      <w:r>
        <w:rPr>
          <w:b/>
          <w:bCs/>
          <w:color w:val="2D7A7A"/>
        </w:rPr>
        <w:t>Compliance and PHI</w:t>
      </w:r>
    </w:p>
    <w:p w14:paraId="25196050" w14:textId="77777777" w:rsidR="004A5B71" w:rsidRDefault="00404D1D">
      <w:pPr>
        <w:spacing w:after="180" w:line="320" w:lineRule="auto"/>
        <w:jc w:val="both"/>
      </w:pPr>
      <w:r>
        <w:t>Any system handling HCP interactions in the United States is potentially handling protected health information. The regulatory environment around promotional conduct, the Sunshine Act, and the FDA's January 2025 SIUU guidance on scientific information about unapproved uses is not becoming more forgiving.</w:t>
      </w:r>
    </w:p>
    <w:p w14:paraId="5990A092" w14:textId="77777777" w:rsidR="004A5B71" w:rsidRDefault="00404D1D">
      <w:pPr>
        <w:spacing w:after="180" w:line="320" w:lineRule="auto"/>
        <w:jc w:val="both"/>
      </w:pPr>
      <w:r>
        <w:t>The hybrid model only works on HITRUST-certified, audit-ready infrastructure where AI responses are drawn from approved content libraries and every interaction is logged. Anything less is a brand risk, not a commercial program. HITRUST r2 — the highest assurance level — is the standard worth insisting on for pharmaceutical and medical device deployments.</w:t>
      </w:r>
    </w:p>
    <w:p w14:paraId="1C6CF422" w14:textId="77777777" w:rsidR="004A5B71" w:rsidRDefault="00404D1D">
      <w:pPr>
        <w:spacing w:before="160" w:after="80"/>
      </w:pPr>
      <w:r>
        <w:rPr>
          <w:b/>
          <w:bCs/>
          <w:color w:val="2D7A7A"/>
        </w:rPr>
        <w:t>Brand voice and message fidelity</w:t>
      </w:r>
    </w:p>
    <w:p w14:paraId="1ADE6FD4" w14:textId="77777777" w:rsidR="004A5B71" w:rsidRDefault="00404D1D">
      <w:pPr>
        <w:spacing w:after="180" w:line="320" w:lineRule="auto"/>
        <w:jc w:val="both"/>
      </w:pPr>
      <w:r>
        <w:lastRenderedPageBreak/>
        <w:t xml:space="preserve">A real concern: when </w:t>
      </w:r>
      <w:proofErr w:type="gramStart"/>
      <w:r>
        <w:t>a representative —</w:t>
      </w:r>
      <w:proofErr w:type="gramEnd"/>
      <w:r>
        <w:t xml:space="preserve"> virtual or otherwise </w:t>
      </w:r>
      <w:proofErr w:type="gramStart"/>
      <w:r>
        <w:t>— is augmented</w:t>
      </w:r>
      <w:proofErr w:type="gramEnd"/>
      <w:r>
        <w:t xml:space="preserve"> by an AI agent, who controls what the AI says? The answer </w:t>
      </w:r>
      <w:proofErr w:type="gramStart"/>
      <w:r>
        <w:t>has to</w:t>
      </w:r>
      <w:proofErr w:type="gramEnd"/>
      <w:r>
        <w:t xml:space="preserve"> be the brand. Approved content libraries, locked-down response paths, human review of any new content category, and clear escalation rules for off-label questions are not optional features. The AI's job is to deliver the brand's approved message faster and more consistently than an </w:t>
      </w:r>
      <w:proofErr w:type="spellStart"/>
      <w:r>
        <w:t>unaugmented</w:t>
      </w:r>
      <w:proofErr w:type="spellEnd"/>
      <w:r>
        <w:t xml:space="preserve"> rep could, not to improvise its way into a regulatory letter.</w:t>
      </w:r>
    </w:p>
    <w:p w14:paraId="6274E9B0" w14:textId="77777777" w:rsidR="004A5B71" w:rsidRDefault="00404D1D">
      <w:pPr>
        <w:spacing w:before="160" w:after="80"/>
      </w:pPr>
      <w:r>
        <w:rPr>
          <w:b/>
          <w:bCs/>
          <w:color w:val="2D7A7A"/>
        </w:rPr>
        <w:t>The "feel" of the interaction</w:t>
      </w:r>
    </w:p>
    <w:p w14:paraId="3A35DE54" w14:textId="77777777" w:rsidR="004A5B71" w:rsidRDefault="00404D1D">
      <w:pPr>
        <w:spacing w:after="180" w:line="320" w:lineRule="auto"/>
        <w:jc w:val="both"/>
      </w:pPr>
      <w:r>
        <w:t>HCPs are sophisticated consumers of communication and can tell immediately when they are being routed through poorly designed automation. The hybrid model only earns its keep if the human-AI handoff is invisible from the physician's perspective — meaning the AI agent is competent enough to handle what it handles, and the representative picks up with full context the moment escalation occurs. Hybrid deployments that fail this test damage the brand more than no deployment at all.</w:t>
      </w:r>
    </w:p>
    <w:p w14:paraId="3F9F0ABE" w14:textId="77777777" w:rsidR="004A5B71" w:rsidRDefault="00404D1D">
      <w:pPr>
        <w:spacing w:before="240" w:after="60"/>
      </w:pPr>
      <w:r>
        <w:rPr>
          <w:b/>
          <w:bCs/>
          <w:color w:val="2D7A7A"/>
          <w:spacing w:val="40"/>
          <w:sz w:val="18"/>
          <w:szCs w:val="18"/>
        </w:rPr>
        <w:t>PART SIX</w:t>
      </w:r>
    </w:p>
    <w:p w14:paraId="536BE6C6"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Five questions to ask any hybrid engagement partner</w:t>
      </w:r>
    </w:p>
    <w:p w14:paraId="6D812C45" w14:textId="77777777" w:rsidR="004A5B71" w:rsidRDefault="00404D1D">
      <w:pPr>
        <w:spacing w:after="180" w:line="320" w:lineRule="auto"/>
        <w:jc w:val="both"/>
      </w:pPr>
      <w:r>
        <w:t>Pharmaceutical and medical device organizations evaluating partners for this model should ask five direct questions. The answers separate credible operators from PowerPoint.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A5B71" w14:paraId="438CBC67" w14:textId="77777777">
        <w:tblPrEx>
          <w:tblCellMar>
            <w:top w:w="0" w:type="dxa"/>
            <w:bottom w:w="0" w:type="dxa"/>
          </w:tblCellMar>
        </w:tblPrEx>
        <w:tc>
          <w:tcPr>
            <w:tcW w:w="9360" w:type="dxa"/>
            <w:tcBorders>
              <w:top w:val="none" w:sz="0" w:space="0" w:color="FFFFFF"/>
              <w:left w:val="single" w:sz="36" w:space="0" w:color="C8A951"/>
              <w:bottom w:val="none" w:sz="0" w:space="0" w:color="FFFFFF"/>
              <w:right w:val="none" w:sz="0" w:space="0" w:color="FFFFFF"/>
            </w:tcBorders>
            <w:shd w:val="clear" w:color="auto" w:fill="F4F2EC"/>
            <w:tcMar>
              <w:top w:w="280" w:type="dxa"/>
              <w:left w:w="360" w:type="dxa"/>
              <w:bottom w:w="280" w:type="dxa"/>
              <w:right w:w="360" w:type="dxa"/>
            </w:tcMar>
          </w:tcPr>
          <w:p w14:paraId="0F8C33F4" w14:textId="77777777" w:rsidR="004A5B71" w:rsidRDefault="00404D1D">
            <w:pPr>
              <w:spacing w:after="200"/>
            </w:pPr>
            <w:r>
              <w:rPr>
                <w:b/>
                <w:bCs/>
                <w:color w:val="2D7A7A"/>
                <w:spacing w:val="40"/>
                <w:sz w:val="18"/>
                <w:szCs w:val="18"/>
              </w:rPr>
              <w:t>PARTNER EVALUATION CHECKLIST</w:t>
            </w:r>
          </w:p>
          <w:p w14:paraId="10B1C5E0" w14:textId="77777777" w:rsidR="004A5B71" w:rsidRDefault="00404D1D">
            <w:pPr>
              <w:spacing w:after="140" w:line="320" w:lineRule="auto"/>
            </w:pPr>
            <w:r>
              <w:rPr>
                <w:b/>
                <w:bCs/>
                <w:color w:val="1A365D"/>
              </w:rPr>
              <w:t xml:space="preserve">1.  Is the operation HITRUST r2 certified?  </w:t>
            </w:r>
            <w:r>
              <w:t>Anything less is a risk profile, not a compliance posture. Ask for current attestation documentation, not a marketing claim.</w:t>
            </w:r>
          </w:p>
          <w:p w14:paraId="0F00D8A0" w14:textId="77777777" w:rsidR="004A5B71" w:rsidRDefault="00404D1D">
            <w:pPr>
              <w:spacing w:after="140" w:line="320" w:lineRule="auto"/>
            </w:pPr>
            <w:r>
              <w:rPr>
                <w:b/>
                <w:bCs/>
                <w:color w:val="1A365D"/>
              </w:rPr>
              <w:t xml:space="preserve">2.  Where do AI responses come from?  </w:t>
            </w:r>
            <w:r>
              <w:t>If the answer is "general-purpose model output," the answer is wrong. Approved content libraries are the only defensible source.</w:t>
            </w:r>
          </w:p>
          <w:p w14:paraId="2E833915" w14:textId="77777777" w:rsidR="004A5B71" w:rsidRDefault="00404D1D">
            <w:pPr>
              <w:spacing w:after="140" w:line="320" w:lineRule="auto"/>
            </w:pPr>
            <w:r>
              <w:rPr>
                <w:b/>
                <w:bCs/>
                <w:color w:val="1A365D"/>
              </w:rPr>
              <w:t xml:space="preserve">3.  Who handles clinical escalations?  </w:t>
            </w:r>
            <w:r>
              <w:t>Licensed registered nurses operating under recognized protocols (Schmitt-Thompson or equivalent), or nobody. There is no acceptable middle answer.</w:t>
            </w:r>
          </w:p>
          <w:p w14:paraId="7B31B4FD" w14:textId="77777777" w:rsidR="004A5B71" w:rsidRDefault="00404D1D">
            <w:pPr>
              <w:spacing w:after="140" w:line="320" w:lineRule="auto"/>
            </w:pPr>
            <w:r>
              <w:rPr>
                <w:b/>
                <w:bCs/>
                <w:color w:val="1A365D"/>
              </w:rPr>
              <w:lastRenderedPageBreak/>
              <w:t xml:space="preserve">4.  Is bilingual capability native?  </w:t>
            </w:r>
            <w:r>
              <w:t>Sequential translation tools are not the same as bilingual representatives operating on shift. Ask where the bilingual operations team is located and how it is staffed.</w:t>
            </w:r>
          </w:p>
          <w:p w14:paraId="3CF9505C" w14:textId="77777777" w:rsidR="004A5B71" w:rsidRDefault="00404D1D">
            <w:pPr>
              <w:spacing w:line="320" w:lineRule="auto"/>
            </w:pPr>
            <w:r>
              <w:rPr>
                <w:b/>
                <w:bCs/>
                <w:color w:val="1A365D"/>
              </w:rPr>
              <w:t xml:space="preserve">5.  Can the partner show a real interaction log?  </w:t>
            </w:r>
            <w:r>
              <w:t>Transparency on data capture is the only test that matters. If the partner cannot demonstrate exactly what an interaction record looks like — including AI handoff points — assume the record does not exist in a usable form.</w:t>
            </w:r>
          </w:p>
        </w:tc>
      </w:tr>
    </w:tbl>
    <w:p w14:paraId="0924933D" w14:textId="77777777" w:rsidR="004A5B71" w:rsidRDefault="00404D1D">
      <w:pPr>
        <w:spacing w:before="240" w:after="60"/>
      </w:pPr>
      <w:r>
        <w:rPr>
          <w:b/>
          <w:bCs/>
          <w:color w:val="2D7A7A"/>
          <w:spacing w:val="40"/>
          <w:sz w:val="18"/>
          <w:szCs w:val="18"/>
        </w:rPr>
        <w:lastRenderedPageBreak/>
        <w:t>PART SEVEN</w:t>
      </w:r>
    </w:p>
    <w:p w14:paraId="5B313A24"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The path forward</w:t>
      </w:r>
    </w:p>
    <w:p w14:paraId="0A904CA6" w14:textId="77777777" w:rsidR="004A5B71" w:rsidRDefault="00404D1D">
      <w:pPr>
        <w:spacing w:after="180" w:line="320" w:lineRule="auto"/>
        <w:jc w:val="both"/>
      </w:pPr>
      <w:r>
        <w:t xml:space="preserve">The volume-led commercial playbook — more reps, more emails, more webinars — has been running up against the same wall for fifteen years. The structural answer is not to add headcount in a market that is filtering harder every quarter. It is to redesign what a representative </w:t>
      </w:r>
      <w:proofErr w:type="gramStart"/>
      <w:r>
        <w:t>actually does</w:t>
      </w:r>
      <w:proofErr w:type="gramEnd"/>
      <w:r>
        <w:t>, and to surround that representative with infrastructure capable of operating at machine speed where machine speed helps and human judgment where human judgment matters.</w:t>
      </w:r>
    </w:p>
    <w:p w14:paraId="5CD9406A" w14:textId="77777777" w:rsidR="004A5B71" w:rsidRDefault="00404D1D">
      <w:pPr>
        <w:spacing w:after="180" w:line="320" w:lineRule="auto"/>
        <w:jc w:val="both"/>
      </w:pPr>
      <w:r>
        <w:t xml:space="preserve">Virtual sales representatives and AI-integrated agents are not </w:t>
      </w:r>
      <w:proofErr w:type="gramStart"/>
      <w:r>
        <w:t>competing</w:t>
      </w:r>
      <w:proofErr w:type="gramEnd"/>
      <w:r>
        <w:t xml:space="preserve"> solutions to the access crisis. They are </w:t>
      </w:r>
      <w:proofErr w:type="gramStart"/>
      <w:r>
        <w:t>halves</w:t>
      </w:r>
      <w:proofErr w:type="gramEnd"/>
      <w:r>
        <w:t xml:space="preserve"> of the same one. The commercial teams that figure this out early will not be the ones that automate the most. They will be the ones that deploy the right human </w:t>
      </w:r>
      <w:proofErr w:type="gramStart"/>
      <w:r>
        <w:t>in</w:t>
      </w:r>
      <w:proofErr w:type="gramEnd"/>
      <w:r>
        <w:t xml:space="preserve"> the right moment, supported by a system that has already done the work of getting them there.</w:t>
      </w:r>
    </w:p>
    <w:p w14:paraId="1589009F" w14:textId="77777777" w:rsidR="004A5B71" w:rsidRDefault="00404D1D">
      <w:pPr>
        <w:spacing w:after="180" w:line="320" w:lineRule="auto"/>
        <w:jc w:val="both"/>
      </w:pPr>
      <w:r>
        <w:t>That is the commercial playbook worth building in 2026.</w:t>
      </w:r>
    </w:p>
    <w:p w14:paraId="43E98CA2" w14:textId="77777777" w:rsidR="004A5B71" w:rsidRDefault="00404D1D">
      <w:pPr>
        <w:spacing w:before="240" w:after="60"/>
      </w:pPr>
      <w:r>
        <w:rPr>
          <w:b/>
          <w:bCs/>
          <w:color w:val="2D7A7A"/>
          <w:spacing w:val="40"/>
          <w:sz w:val="18"/>
          <w:szCs w:val="18"/>
        </w:rPr>
        <w:t>ABOUT THE AUTHOR AND TAS UNITED</w:t>
      </w:r>
    </w:p>
    <w:p w14:paraId="71C4F785"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 xml:space="preserve">Who </w:t>
      </w:r>
      <w:proofErr w:type="gramStart"/>
      <w:r>
        <w:rPr>
          <w:rFonts w:ascii="Playfair Display" w:eastAsia="Playfair Display" w:hAnsi="Playfair Display" w:cs="Playfair Display"/>
          <w:b/>
          <w:bCs/>
          <w:color w:val="1A365D"/>
          <w:sz w:val="36"/>
          <w:szCs w:val="36"/>
        </w:rPr>
        <w:t>we are</w:t>
      </w:r>
      <w:proofErr w:type="gramEnd"/>
    </w:p>
    <w:p w14:paraId="2C588CE6" w14:textId="77777777" w:rsidR="004A5B71" w:rsidRDefault="00404D1D">
      <w:pPr>
        <w:spacing w:after="180" w:line="320" w:lineRule="auto"/>
        <w:jc w:val="both"/>
      </w:pPr>
      <w:r>
        <w:t>TAS United is a healthcare-exclusive contact center founded in 1984 and headquartered in Lubbock, Texas, with bilingual operations in Guaynabo, Puerto Rico. We are HITRUST r2 certified — the highest assurance level — and have spent more than four decades exclusively in healthcare communications. We do not split our attention with other verticals.</w:t>
      </w:r>
    </w:p>
    <w:p w14:paraId="5C221677" w14:textId="77777777" w:rsidR="004A5B71" w:rsidRDefault="00404D1D">
      <w:pPr>
        <w:spacing w:after="180" w:line="320" w:lineRule="auto"/>
        <w:jc w:val="both"/>
      </w:pPr>
      <w:r>
        <w:t>Our services for pharmaceutical and medical device clients include:</w:t>
      </w:r>
    </w:p>
    <w:p w14:paraId="22C4B4F0" w14:textId="77777777" w:rsidR="004A5B71" w:rsidRDefault="00404D1D">
      <w:pPr>
        <w:pStyle w:val="ListParagraph"/>
        <w:numPr>
          <w:ilvl w:val="0"/>
          <w:numId w:val="2"/>
        </w:numPr>
        <w:spacing w:after="100" w:line="300" w:lineRule="auto"/>
      </w:pPr>
      <w:r>
        <w:rPr>
          <w:b/>
          <w:bCs/>
          <w:color w:val="1A365D"/>
        </w:rPr>
        <w:lastRenderedPageBreak/>
        <w:t xml:space="preserve">Virtual Sales Representative services </w:t>
      </w:r>
      <w:r>
        <w:t xml:space="preserve">— live bilingual representatives trained </w:t>
      </w:r>
      <w:proofErr w:type="gramStart"/>
      <w:r>
        <w:t>on</w:t>
      </w:r>
      <w:proofErr w:type="gramEnd"/>
      <w:r>
        <w:t xml:space="preserve"> brand-specific content, integrated with client CRM systems</w:t>
      </w:r>
    </w:p>
    <w:p w14:paraId="6F5E2FA1" w14:textId="77777777" w:rsidR="004A5B71" w:rsidRDefault="00404D1D">
      <w:pPr>
        <w:pStyle w:val="ListParagraph"/>
        <w:numPr>
          <w:ilvl w:val="0"/>
          <w:numId w:val="2"/>
        </w:numPr>
        <w:spacing w:after="100" w:line="300" w:lineRule="auto"/>
      </w:pPr>
      <w:r>
        <w:rPr>
          <w:b/>
          <w:bCs/>
          <w:color w:val="1A365D"/>
        </w:rPr>
        <w:t xml:space="preserve">AI-Integrated Agent™ </w:t>
      </w:r>
      <w:r>
        <w:t>— our hybrid AI/live-agent model, operating from approved content libraries with seamless human escalation</w:t>
      </w:r>
    </w:p>
    <w:p w14:paraId="0B562888" w14:textId="77777777" w:rsidR="004A5B71" w:rsidRDefault="00404D1D">
      <w:pPr>
        <w:pStyle w:val="ListParagraph"/>
        <w:numPr>
          <w:ilvl w:val="0"/>
          <w:numId w:val="2"/>
        </w:numPr>
        <w:spacing w:after="100" w:line="300" w:lineRule="auto"/>
      </w:pPr>
      <w:r>
        <w:rPr>
          <w:b/>
          <w:bCs/>
          <w:color w:val="1A365D"/>
        </w:rPr>
        <w:t xml:space="preserve">Nurse on Demand </w:t>
      </w:r>
      <w:r>
        <w:t>— RN-staffed clinical triage operating under Schmitt-Thompson protocols, available for off-hours and clinical escalation</w:t>
      </w:r>
    </w:p>
    <w:p w14:paraId="035D9265" w14:textId="77777777" w:rsidR="004A5B71" w:rsidRDefault="00404D1D">
      <w:pPr>
        <w:pStyle w:val="ListParagraph"/>
        <w:numPr>
          <w:ilvl w:val="0"/>
          <w:numId w:val="2"/>
        </w:numPr>
        <w:spacing w:after="100" w:line="300" w:lineRule="auto"/>
      </w:pPr>
      <w:r>
        <w:rPr>
          <w:b/>
          <w:bCs/>
          <w:color w:val="1A365D"/>
        </w:rPr>
        <w:t xml:space="preserve">Live bilingual answering </w:t>
      </w:r>
      <w:r>
        <w:t>— English and Spanish, native bilingual representatives, 24/7</w:t>
      </w:r>
    </w:p>
    <w:p w14:paraId="37C5EDE1" w14:textId="77777777" w:rsidR="004A5B71" w:rsidRDefault="00404D1D">
      <w:pPr>
        <w:pStyle w:val="ListParagraph"/>
        <w:numPr>
          <w:ilvl w:val="0"/>
          <w:numId w:val="2"/>
        </w:numPr>
        <w:spacing w:after="100" w:line="300" w:lineRule="auto"/>
      </w:pPr>
      <w:r>
        <w:rPr>
          <w:b/>
          <w:bCs/>
          <w:color w:val="1A365D"/>
        </w:rPr>
        <w:t xml:space="preserve">Staff augmentation </w:t>
      </w:r>
      <w:r>
        <w:t>— scalable support for product launches, label expansions, and competitive responses</w:t>
      </w:r>
    </w:p>
    <w:p w14:paraId="3F43ABA0" w14:textId="77777777" w:rsidR="004A5B71" w:rsidRDefault="004A5B71">
      <w:pPr>
        <w:spacing w:after="280"/>
      </w:pPr>
    </w:p>
    <w:p w14:paraId="221BFFA1" w14:textId="77777777" w:rsidR="004A5B71" w:rsidRDefault="00404D1D">
      <w:pPr>
        <w:spacing w:before="280" w:after="140"/>
      </w:pPr>
      <w:r>
        <w:rPr>
          <w:rFonts w:ascii="Playfair Display" w:eastAsia="Playfair Display" w:hAnsi="Playfair Display" w:cs="Playfair Display"/>
          <w:b/>
          <w:bCs/>
          <w:color w:val="1A365D"/>
          <w:sz w:val="26"/>
          <w:szCs w:val="26"/>
        </w:rPr>
        <w:t>Clay McElroy, MBA</w:t>
      </w:r>
    </w:p>
    <w:p w14:paraId="272A898C" w14:textId="77777777" w:rsidR="004A5B71" w:rsidRDefault="00404D1D">
      <w:pPr>
        <w:spacing w:after="180" w:line="320" w:lineRule="auto"/>
        <w:jc w:val="both"/>
      </w:pPr>
      <w:r>
        <w:t>Clay McElroy is Director of Sales and Client Engagement at TAS United. He leads commercial strategy for the company's pharmaceutical, medical device, and healthcare provider portfolios and works directly with clients designing virtual and AI-integrated engagement programs.</w:t>
      </w:r>
    </w:p>
    <w:p w14:paraId="25EB9355" w14:textId="77777777" w:rsidR="004A5B71" w:rsidRDefault="00404D1D">
      <w:r>
        <w:br w:type="page"/>
      </w:r>
    </w:p>
    <w:p w14:paraId="597FE4B1" w14:textId="77777777" w:rsidR="004A5B71" w:rsidRDefault="00404D1D">
      <w:pPr>
        <w:spacing w:before="240" w:after="60"/>
      </w:pPr>
      <w:r>
        <w:rPr>
          <w:b/>
          <w:bCs/>
          <w:color w:val="2D7A7A"/>
          <w:spacing w:val="40"/>
          <w:sz w:val="18"/>
          <w:szCs w:val="18"/>
        </w:rPr>
        <w:lastRenderedPageBreak/>
        <w:t>NEXT STEPS</w:t>
      </w:r>
    </w:p>
    <w:p w14:paraId="1A7538B7" w14:textId="77777777" w:rsidR="004A5B71" w:rsidRDefault="00404D1D">
      <w:pPr>
        <w:pBdr>
          <w:bottom w:val="single" w:sz="12" w:space="6" w:color="C8A951"/>
        </w:pBdr>
        <w:spacing w:before="120" w:after="80"/>
      </w:pPr>
      <w:r>
        <w:rPr>
          <w:rFonts w:ascii="Playfair Display" w:eastAsia="Playfair Display" w:hAnsi="Playfair Display" w:cs="Playfair Display"/>
          <w:b/>
          <w:bCs/>
          <w:color w:val="1A365D"/>
          <w:sz w:val="36"/>
          <w:szCs w:val="36"/>
        </w:rPr>
        <w:t>Let's talk</w:t>
      </w:r>
    </w:p>
    <w:p w14:paraId="1E0D72DD" w14:textId="77777777" w:rsidR="004A5B71" w:rsidRDefault="004A5B7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A5B71" w14:paraId="0670E65A" w14:textId="77777777">
        <w:tblPrEx>
          <w:tblCellMar>
            <w:top w:w="0" w:type="dxa"/>
            <w:bottom w:w="0" w:type="dxa"/>
          </w:tblCellMar>
        </w:tblPrEx>
        <w:tc>
          <w:tcPr>
            <w:tcW w:w="9360" w:type="dxa"/>
            <w:tcBorders>
              <w:top w:val="none" w:sz="0" w:space="0" w:color="FFFFFF"/>
              <w:left w:val="single" w:sz="36" w:space="0" w:color="C8A951"/>
              <w:bottom w:val="none" w:sz="0" w:space="0" w:color="FFFFFF"/>
              <w:right w:val="none" w:sz="0" w:space="0" w:color="FFFFFF"/>
            </w:tcBorders>
            <w:shd w:val="clear" w:color="auto" w:fill="1A365D"/>
            <w:tcMar>
              <w:top w:w="280" w:type="dxa"/>
              <w:left w:w="360" w:type="dxa"/>
              <w:bottom w:w="280" w:type="dxa"/>
              <w:right w:w="360" w:type="dxa"/>
            </w:tcMar>
          </w:tcPr>
          <w:p w14:paraId="04FC4C79" w14:textId="77777777" w:rsidR="004A5B71" w:rsidRDefault="00404D1D">
            <w:pPr>
              <w:spacing w:after="200"/>
            </w:pPr>
            <w:r>
              <w:rPr>
                <w:b/>
                <w:bCs/>
                <w:color w:val="C8A951"/>
                <w:spacing w:val="60"/>
              </w:rPr>
              <w:t>READY TO TALK?</w:t>
            </w:r>
          </w:p>
          <w:p w14:paraId="5E0E7CAC" w14:textId="77777777" w:rsidR="004A5B71" w:rsidRDefault="00404D1D">
            <w:pPr>
              <w:spacing w:after="200" w:line="340" w:lineRule="auto"/>
            </w:pPr>
            <w:r>
              <w:rPr>
                <w:color w:val="FFFFFF"/>
              </w:rPr>
              <w:t>If you are evaluating a hybrid Virtual Sales Representative and AI-Integrated Agent program for your brand, we welcome a conversation. We are happy to walk through real interaction logs, our HITRUST attestation, and the operational model in detail — before any commercial discussion.</w:t>
            </w:r>
          </w:p>
          <w:p w14:paraId="6CD1AD98" w14:textId="77777777" w:rsidR="004A5B71" w:rsidRDefault="00404D1D">
            <w:pPr>
              <w:spacing w:after="60"/>
            </w:pPr>
            <w:r>
              <w:rPr>
                <w:rFonts w:ascii="Playfair Display" w:eastAsia="Playfair Display" w:hAnsi="Playfair Display" w:cs="Playfair Display"/>
                <w:b/>
                <w:bCs/>
                <w:color w:val="FFFFFF"/>
                <w:sz w:val="28"/>
                <w:szCs w:val="28"/>
              </w:rPr>
              <w:t>Clay McElroy, MBA</w:t>
            </w:r>
          </w:p>
          <w:p w14:paraId="42FD9BA0" w14:textId="77777777" w:rsidR="004A5B71" w:rsidRDefault="00404D1D">
            <w:pPr>
              <w:spacing w:after="200"/>
            </w:pPr>
            <w:r>
              <w:rPr>
                <w:i/>
                <w:iCs/>
                <w:color w:val="FFFFFF"/>
                <w:sz w:val="20"/>
                <w:szCs w:val="20"/>
              </w:rPr>
              <w:t>Director of Sales &amp; Client Engagement</w:t>
            </w:r>
          </w:p>
          <w:p w14:paraId="16482943" w14:textId="77777777" w:rsidR="004A5B71" w:rsidRDefault="00404D1D">
            <w:pPr>
              <w:spacing w:after="80"/>
            </w:pPr>
            <w:r>
              <w:rPr>
                <w:b/>
                <w:bCs/>
                <w:color w:val="C8A951"/>
                <w:sz w:val="20"/>
                <w:szCs w:val="20"/>
              </w:rPr>
              <w:t xml:space="preserve">Direct  </w:t>
            </w:r>
            <w:r>
              <w:rPr>
                <w:color w:val="FFFFFF"/>
                <w:sz w:val="20"/>
                <w:szCs w:val="20"/>
              </w:rPr>
              <w:t>(806) 559-3812</w:t>
            </w:r>
          </w:p>
          <w:p w14:paraId="6963A489" w14:textId="77777777" w:rsidR="004A5B71" w:rsidRDefault="00404D1D">
            <w:pPr>
              <w:spacing w:after="80"/>
            </w:pPr>
            <w:r>
              <w:rPr>
                <w:b/>
                <w:bCs/>
                <w:color w:val="C8A951"/>
                <w:sz w:val="20"/>
                <w:szCs w:val="20"/>
              </w:rPr>
              <w:t xml:space="preserve">Toll-free  </w:t>
            </w:r>
            <w:r>
              <w:rPr>
                <w:color w:val="FFFFFF"/>
                <w:sz w:val="20"/>
                <w:szCs w:val="20"/>
              </w:rPr>
              <w:t>(866) 479-7203</w:t>
            </w:r>
          </w:p>
          <w:p w14:paraId="2EAC1AA0" w14:textId="77777777" w:rsidR="004A5B71" w:rsidRDefault="00404D1D">
            <w:pPr>
              <w:spacing w:after="80"/>
            </w:pPr>
            <w:r>
              <w:rPr>
                <w:b/>
                <w:bCs/>
                <w:color w:val="C8A951"/>
                <w:sz w:val="20"/>
                <w:szCs w:val="20"/>
              </w:rPr>
              <w:t xml:space="preserve">Email  </w:t>
            </w:r>
            <w:r>
              <w:rPr>
                <w:color w:val="FFFFFF"/>
                <w:sz w:val="20"/>
                <w:szCs w:val="20"/>
              </w:rPr>
              <w:t>cmcelroy@tasunited.com</w:t>
            </w:r>
          </w:p>
          <w:p w14:paraId="1B863376" w14:textId="77777777" w:rsidR="004A5B71" w:rsidRDefault="00404D1D">
            <w:r>
              <w:rPr>
                <w:b/>
                <w:bCs/>
                <w:color w:val="C8A951"/>
                <w:sz w:val="20"/>
                <w:szCs w:val="20"/>
              </w:rPr>
              <w:t xml:space="preserve">Web  </w:t>
            </w:r>
            <w:r>
              <w:rPr>
                <w:color w:val="FFFFFF"/>
                <w:sz w:val="20"/>
                <w:szCs w:val="20"/>
              </w:rPr>
              <w:t>tasunited.com</w:t>
            </w:r>
          </w:p>
        </w:tc>
      </w:tr>
    </w:tbl>
    <w:p w14:paraId="3441ABD1" w14:textId="77777777" w:rsidR="004A5B71" w:rsidRDefault="004A5B71">
      <w:pPr>
        <w:spacing w:after="280"/>
      </w:pPr>
    </w:p>
    <w:p w14:paraId="56692F57" w14:textId="77777777" w:rsidR="004A5B71" w:rsidRDefault="00404D1D">
      <w:pPr>
        <w:pBdr>
          <w:top w:val="single" w:sz="18" w:space="12" w:color="C8A951"/>
        </w:pBdr>
        <w:spacing w:before="240"/>
        <w:jc w:val="center"/>
      </w:pPr>
      <w:r>
        <w:rPr>
          <w:b/>
          <w:bCs/>
          <w:color w:val="1A365D"/>
          <w:spacing w:val="40"/>
          <w:sz w:val="14"/>
          <w:szCs w:val="14"/>
        </w:rPr>
        <w:t>TAS UNITED  |  HEALTHCARE-EXCLUSIVE SINCE 1984  |  HITRUST r2 CERTIFIED  |  BILINGUAL  |  U.S.-BASED</w:t>
      </w:r>
    </w:p>
    <w:sectPr w:rsidR="004A5B7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8E01" w14:textId="77777777" w:rsidR="00404D1D" w:rsidRDefault="00404D1D">
      <w:r>
        <w:separator/>
      </w:r>
    </w:p>
  </w:endnote>
  <w:endnote w:type="continuationSeparator" w:id="0">
    <w:p w14:paraId="18290614" w14:textId="77777777" w:rsidR="00404D1D" w:rsidRDefault="004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02F6" w14:textId="77777777" w:rsidR="004A5B71" w:rsidRDefault="00404D1D">
    <w:pPr>
      <w:jc w:val="center"/>
    </w:pPr>
    <w:r>
      <w:rPr>
        <w:color w:val="555555"/>
        <w:sz w:val="16"/>
        <w:szCs w:val="16"/>
      </w:rPr>
      <w:t>tasunited.com</w:t>
    </w:r>
    <w:r>
      <w:rPr>
        <w:color w:val="C8A951"/>
        <w:sz w:val="16"/>
        <w:szCs w:val="16"/>
      </w:rPr>
      <w:t xml:space="preserve">    |    </w:t>
    </w:r>
    <w:r>
      <w:rPr>
        <w:color w:val="555555"/>
        <w:sz w:val="16"/>
        <w:szCs w:val="16"/>
      </w:rPr>
      <w:t>(866) 479-7203</w:t>
    </w:r>
    <w:r>
      <w:rPr>
        <w:color w:val="C8A951"/>
        <w:sz w:val="16"/>
        <w:szCs w:val="16"/>
      </w:rPr>
      <w:t xml:space="preserve">    |    </w:t>
    </w:r>
    <w:r>
      <w:rPr>
        <w:color w:val="555555"/>
        <w:sz w:val="16"/>
        <w:szCs w:val="16"/>
      </w:rPr>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A621BD">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80ED" w14:textId="77777777" w:rsidR="00404D1D" w:rsidRDefault="00404D1D">
      <w:r>
        <w:separator/>
      </w:r>
    </w:p>
  </w:footnote>
  <w:footnote w:type="continuationSeparator" w:id="0">
    <w:p w14:paraId="73D7913A" w14:textId="77777777" w:rsidR="00404D1D" w:rsidRDefault="0040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C0FC" w14:textId="77777777" w:rsidR="004A5B71" w:rsidRDefault="00404D1D">
    <w:pPr>
      <w:pBdr>
        <w:bottom w:val="single" w:sz="4" w:space="4" w:color="C8A951"/>
      </w:pBdr>
      <w:spacing w:after="60"/>
      <w:jc w:val="right"/>
    </w:pPr>
    <w:r>
      <w:rPr>
        <w:color w:val="555555"/>
        <w:spacing w:val="30"/>
        <w:sz w:val="16"/>
        <w:szCs w:val="16"/>
      </w:rPr>
      <w:t>TAS UNITED  |  CLOSING THE ACCESS GAP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8772C"/>
    <w:multiLevelType w:val="hybridMultilevel"/>
    <w:tmpl w:val="3CFAA9A4"/>
    <w:lvl w:ilvl="0" w:tplc="A3603DC0">
      <w:start w:val="1"/>
      <w:numFmt w:val="bullet"/>
      <w:lvlText w:val="■"/>
      <w:lvlJc w:val="left"/>
      <w:pPr>
        <w:ind w:left="540" w:hanging="270"/>
      </w:pPr>
      <w:rPr>
        <w:color w:val="2D7A7A"/>
      </w:rPr>
    </w:lvl>
    <w:lvl w:ilvl="1" w:tplc="3DE4B724">
      <w:numFmt w:val="decimal"/>
      <w:lvlText w:val=""/>
      <w:lvlJc w:val="left"/>
    </w:lvl>
    <w:lvl w:ilvl="2" w:tplc="5BAA08E0">
      <w:numFmt w:val="decimal"/>
      <w:lvlText w:val=""/>
      <w:lvlJc w:val="left"/>
    </w:lvl>
    <w:lvl w:ilvl="3" w:tplc="EE6AE452">
      <w:numFmt w:val="decimal"/>
      <w:lvlText w:val=""/>
      <w:lvlJc w:val="left"/>
    </w:lvl>
    <w:lvl w:ilvl="4" w:tplc="D5A4A190">
      <w:numFmt w:val="decimal"/>
      <w:lvlText w:val=""/>
      <w:lvlJc w:val="left"/>
    </w:lvl>
    <w:lvl w:ilvl="5" w:tplc="8946E4C2">
      <w:numFmt w:val="decimal"/>
      <w:lvlText w:val=""/>
      <w:lvlJc w:val="left"/>
    </w:lvl>
    <w:lvl w:ilvl="6" w:tplc="7F5C7344">
      <w:numFmt w:val="decimal"/>
      <w:lvlText w:val=""/>
      <w:lvlJc w:val="left"/>
    </w:lvl>
    <w:lvl w:ilvl="7" w:tplc="9274D6F2">
      <w:numFmt w:val="decimal"/>
      <w:lvlText w:val=""/>
      <w:lvlJc w:val="left"/>
    </w:lvl>
    <w:lvl w:ilvl="8" w:tplc="AF4475C2">
      <w:numFmt w:val="decimal"/>
      <w:lvlText w:val=""/>
      <w:lvlJc w:val="left"/>
    </w:lvl>
  </w:abstractNum>
  <w:abstractNum w:abstractNumId="1" w15:restartNumberingAfterBreak="0">
    <w:nsid w:val="7DE80351"/>
    <w:multiLevelType w:val="hybridMultilevel"/>
    <w:tmpl w:val="E1C4E048"/>
    <w:lvl w:ilvl="0" w:tplc="C6BC9DDE">
      <w:start w:val="1"/>
      <w:numFmt w:val="bullet"/>
      <w:lvlText w:val="●"/>
      <w:lvlJc w:val="left"/>
      <w:pPr>
        <w:ind w:left="720" w:hanging="360"/>
      </w:pPr>
    </w:lvl>
    <w:lvl w:ilvl="1" w:tplc="BC802C9E">
      <w:start w:val="1"/>
      <w:numFmt w:val="bullet"/>
      <w:lvlText w:val="○"/>
      <w:lvlJc w:val="left"/>
      <w:pPr>
        <w:ind w:left="1440" w:hanging="360"/>
      </w:pPr>
    </w:lvl>
    <w:lvl w:ilvl="2" w:tplc="3170E454">
      <w:start w:val="1"/>
      <w:numFmt w:val="bullet"/>
      <w:lvlText w:val="■"/>
      <w:lvlJc w:val="left"/>
      <w:pPr>
        <w:ind w:left="2160" w:hanging="360"/>
      </w:pPr>
    </w:lvl>
    <w:lvl w:ilvl="3" w:tplc="0F9E7DF8">
      <w:start w:val="1"/>
      <w:numFmt w:val="bullet"/>
      <w:lvlText w:val="●"/>
      <w:lvlJc w:val="left"/>
      <w:pPr>
        <w:ind w:left="2880" w:hanging="360"/>
      </w:pPr>
    </w:lvl>
    <w:lvl w:ilvl="4" w:tplc="22126030">
      <w:start w:val="1"/>
      <w:numFmt w:val="bullet"/>
      <w:lvlText w:val="○"/>
      <w:lvlJc w:val="left"/>
      <w:pPr>
        <w:ind w:left="3600" w:hanging="360"/>
      </w:pPr>
    </w:lvl>
    <w:lvl w:ilvl="5" w:tplc="9FCA97BA">
      <w:start w:val="1"/>
      <w:numFmt w:val="bullet"/>
      <w:lvlText w:val="■"/>
      <w:lvlJc w:val="left"/>
      <w:pPr>
        <w:ind w:left="4320" w:hanging="360"/>
      </w:pPr>
    </w:lvl>
    <w:lvl w:ilvl="6" w:tplc="218E9EA4">
      <w:start w:val="1"/>
      <w:numFmt w:val="bullet"/>
      <w:lvlText w:val="●"/>
      <w:lvlJc w:val="left"/>
      <w:pPr>
        <w:ind w:left="5040" w:hanging="360"/>
      </w:pPr>
    </w:lvl>
    <w:lvl w:ilvl="7" w:tplc="72E8A34A">
      <w:start w:val="1"/>
      <w:numFmt w:val="bullet"/>
      <w:lvlText w:val="●"/>
      <w:lvlJc w:val="left"/>
      <w:pPr>
        <w:ind w:left="5760" w:hanging="360"/>
      </w:pPr>
    </w:lvl>
    <w:lvl w:ilvl="8" w:tplc="EE14F8FE">
      <w:start w:val="1"/>
      <w:numFmt w:val="bullet"/>
      <w:lvlText w:val="●"/>
      <w:lvlJc w:val="left"/>
      <w:pPr>
        <w:ind w:left="6480" w:hanging="360"/>
      </w:pPr>
    </w:lvl>
  </w:abstractNum>
  <w:num w:numId="1" w16cid:durableId="579294547">
    <w:abstractNumId w:val="1"/>
    <w:lvlOverride w:ilvl="0">
      <w:startOverride w:val="1"/>
    </w:lvlOverride>
  </w:num>
  <w:num w:numId="2" w16cid:durableId="352465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71"/>
    <w:rsid w:val="00404D1D"/>
    <w:rsid w:val="004A5B71"/>
    <w:rsid w:val="007C5FCD"/>
    <w:rsid w:val="00A6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4FA6"/>
  <w15:docId w15:val="{6DF71004-832B-4830-9542-AE4FCB1F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DM Sans" w:hAnsi="DM Sans" w:cs="DM Sans"/>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2728</Words>
  <Characters>15553</Characters>
  <Application>Microsoft Office Word</Application>
  <DocSecurity>0</DocSecurity>
  <Lines>129</Lines>
  <Paragraphs>36</Paragraphs>
  <ScaleCrop>false</ScaleCrop>
  <Company>R - Laptops</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the Access Gap — TAS United Whitepaper</dc:title>
  <dc:creator>Clay McElroy, TAS United</dc:creator>
  <cp:lastModifiedBy>Clay McElroy, MBA</cp:lastModifiedBy>
  <cp:revision>2</cp:revision>
  <dcterms:created xsi:type="dcterms:W3CDTF">2026-06-02T20:17:00Z</dcterms:created>
  <dcterms:modified xsi:type="dcterms:W3CDTF">2026-06-02T20:17:00Z</dcterms:modified>
</cp:coreProperties>
</file>