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DD82" w14:textId="77777777" w:rsidR="00A90118" w:rsidRDefault="00C00F4A">
      <w:pPr>
        <w:spacing w:before="200"/>
      </w:pPr>
      <w:r>
        <w:rPr>
          <w:rFonts w:ascii="Playfair Display" w:eastAsia="Playfair Display" w:hAnsi="Playfair Display" w:cs="Playfair Display"/>
          <w:b/>
          <w:bCs/>
          <w:color w:val="1A365D"/>
          <w:spacing w:val="60"/>
          <w:sz w:val="30"/>
          <w:szCs w:val="30"/>
        </w:rPr>
        <w:t>TAS UNITED</w:t>
      </w:r>
    </w:p>
    <w:p w14:paraId="135681F8" w14:textId="77777777" w:rsidR="00A90118" w:rsidRDefault="00C00F4A">
      <w:pPr>
        <w:pBdr>
          <w:bottom w:val="single" w:sz="10" w:space="4" w:color="C8A951"/>
        </w:pBdr>
        <w:spacing w:after="40"/>
      </w:pPr>
      <w:r>
        <w:rPr>
          <w:color w:val="2D7A7A"/>
          <w:spacing w:val="40"/>
          <w:sz w:val="16"/>
          <w:szCs w:val="16"/>
        </w:rPr>
        <w:t>HEALTHCARE-GRADE WORKFORCE SOLUTIONS  ·  SINCE 1984</w:t>
      </w:r>
    </w:p>
    <w:p w14:paraId="78C4D457" w14:textId="77777777" w:rsidR="00A90118" w:rsidRDefault="00C00F4A">
      <w:pPr>
        <w:spacing w:before="2600"/>
      </w:pPr>
      <w:r>
        <w:rPr>
          <w:b/>
          <w:bCs/>
          <w:color w:val="C8A951"/>
          <w:spacing w:val="80"/>
          <w:sz w:val="18"/>
          <w:szCs w:val="18"/>
        </w:rPr>
        <w:t>AN ENTERPRISE WHITEPAPER</w:t>
      </w:r>
    </w:p>
    <w:p w14:paraId="32131839" w14:textId="77777777" w:rsidR="00A90118" w:rsidRDefault="00C00F4A">
      <w:pPr>
        <w:spacing w:before="120"/>
      </w:pPr>
      <w:r>
        <w:rPr>
          <w:rFonts w:ascii="Playfair Display" w:eastAsia="Playfair Display" w:hAnsi="Playfair Display" w:cs="Playfair Display"/>
          <w:b/>
          <w:bCs/>
          <w:color w:val="1A365D"/>
          <w:sz w:val="64"/>
          <w:szCs w:val="64"/>
        </w:rPr>
        <w:t>Scaling Without</w:t>
      </w:r>
    </w:p>
    <w:p w14:paraId="21951E0C" w14:textId="77777777" w:rsidR="00A90118" w:rsidRDefault="00C00F4A">
      <w:pPr>
        <w:spacing w:after="220"/>
      </w:pPr>
      <w:r>
        <w:rPr>
          <w:rFonts w:ascii="Playfair Display" w:eastAsia="Playfair Display" w:hAnsi="Playfair Display" w:cs="Playfair Display"/>
          <w:b/>
          <w:bCs/>
          <w:color w:val="2D7A7A"/>
          <w:sz w:val="64"/>
          <w:szCs w:val="64"/>
        </w:rPr>
        <w:t>Strain</w:t>
      </w:r>
    </w:p>
    <w:p w14:paraId="70AE75F1" w14:textId="77777777" w:rsidR="00A90118" w:rsidRDefault="00C00F4A">
      <w:r>
        <w:rPr>
          <w:color w:val="55636E"/>
          <w:sz w:val="26"/>
          <w:szCs w:val="26"/>
        </w:rPr>
        <w:t>How enterprise-grade staff augmentation builds a</w:t>
      </w:r>
    </w:p>
    <w:p w14:paraId="6FEF989B" w14:textId="77777777" w:rsidR="00A90118" w:rsidRDefault="00C00F4A">
      <w:r>
        <w:rPr>
          <w:color w:val="55636E"/>
          <w:sz w:val="26"/>
          <w:szCs w:val="26"/>
        </w:rPr>
        <w:t>flexible, resilient, and cost-disciplined workforce.</w:t>
      </w:r>
    </w:p>
    <w:p w14:paraId="55BE6E77" w14:textId="77777777" w:rsidR="00A90118" w:rsidRDefault="00C00F4A">
      <w:pPr>
        <w:spacing w:before="3200"/>
      </w:pPr>
      <w:r>
        <w:rPr>
          <w:color w:val="55636E"/>
          <w:sz w:val="18"/>
          <w:szCs w:val="18"/>
        </w:rPr>
        <w:t>Prepared for enterprise operations, customer experience,</w:t>
      </w:r>
    </w:p>
    <w:p w14:paraId="05A0A453" w14:textId="77777777" w:rsidR="00A90118" w:rsidRDefault="00C00F4A">
      <w:r>
        <w:rPr>
          <w:color w:val="55636E"/>
          <w:sz w:val="18"/>
          <w:szCs w:val="18"/>
        </w:rPr>
        <w:t>and workforce strategy leaders.</w:t>
      </w:r>
    </w:p>
    <w:p w14:paraId="7ECCB680" w14:textId="77777777" w:rsidR="00A90118" w:rsidRDefault="00C00F4A">
      <w:pPr>
        <w:spacing w:before="60"/>
      </w:pPr>
      <w:r>
        <w:rPr>
          <w:b/>
          <w:bCs/>
          <w:color w:val="1A365D"/>
          <w:sz w:val="18"/>
          <w:szCs w:val="18"/>
        </w:rPr>
        <w:t>TAS United  ·  Lubbock, TX  ·  Guaynabo, PR  ·  HITRUST r2 Certified</w:t>
      </w:r>
    </w:p>
    <w:p w14:paraId="0E824F1A" w14:textId="77777777" w:rsidR="00A90118" w:rsidRDefault="00C00F4A">
      <w:r>
        <w:br w:type="page"/>
      </w:r>
    </w:p>
    <w:p w14:paraId="38216300" w14:textId="77777777" w:rsidR="00A90118" w:rsidRDefault="00A90118">
      <w:pPr>
        <w:sectPr w:rsidR="00A90118">
          <w:pgSz w:w="12240" w:h="15840"/>
          <w:pgMar w:top="1080" w:right="1440" w:bottom="1080" w:left="1440" w:header="708" w:footer="708" w:gutter="0"/>
          <w:cols w:space="720"/>
          <w:docGrid w:linePitch="360"/>
        </w:sectPr>
      </w:pPr>
    </w:p>
    <w:p w14:paraId="73DFC692" w14:textId="77777777" w:rsidR="00A90118" w:rsidRDefault="00C00F4A">
      <w:pPr>
        <w:spacing w:after="40"/>
      </w:pPr>
      <w:r>
        <w:rPr>
          <w:rFonts w:ascii="Playfair Display" w:eastAsia="Playfair Display" w:hAnsi="Playfair Display" w:cs="Playfair Display"/>
          <w:b/>
          <w:bCs/>
          <w:color w:val="1A365D"/>
          <w:sz w:val="34"/>
          <w:szCs w:val="34"/>
        </w:rPr>
        <w:lastRenderedPageBreak/>
        <w:t>Contents</w:t>
      </w:r>
    </w:p>
    <w:p w14:paraId="6AD1CB7E" w14:textId="77777777" w:rsidR="00A90118" w:rsidRDefault="00A90118">
      <w:pPr>
        <w:pBdr>
          <w:bottom w:val="single" w:sz="10" w:space="6" w:color="C8A951"/>
        </w:pBdr>
        <w:spacing w:after="280"/>
      </w:pPr>
    </w:p>
    <w:p w14:paraId="0D7895BD" w14:textId="77777777" w:rsidR="00A90118" w:rsidRDefault="00C00F4A">
      <w:pPr>
        <w:tabs>
          <w:tab w:val="right" w:leader="dot" w:pos="9360"/>
        </w:tabs>
        <w:spacing w:after="150"/>
      </w:pPr>
      <w:r>
        <w:rPr>
          <w:rFonts w:ascii="Playfair Display" w:eastAsia="Playfair Display" w:hAnsi="Playfair Display" w:cs="Playfair Display"/>
          <w:b/>
          <w:bCs/>
          <w:color w:val="C8A951"/>
        </w:rPr>
        <w:t xml:space="preserve">01   </w:t>
      </w:r>
      <w:r>
        <w:rPr>
          <w:color w:val="1A365D"/>
        </w:rPr>
        <w:t>Executive Summary</w:t>
      </w:r>
      <w:r>
        <w:rPr>
          <w:color w:val="1A365D"/>
        </w:rPr>
        <w:tab/>
      </w:r>
      <w:r>
        <w:rPr>
          <w:color w:val="55636E"/>
        </w:rPr>
        <w:t>3</w:t>
      </w:r>
    </w:p>
    <w:p w14:paraId="66153BF7" w14:textId="77777777" w:rsidR="00A90118" w:rsidRDefault="00C00F4A">
      <w:pPr>
        <w:tabs>
          <w:tab w:val="right" w:leader="dot" w:pos="9360"/>
        </w:tabs>
        <w:spacing w:after="150"/>
      </w:pPr>
      <w:r>
        <w:rPr>
          <w:rFonts w:ascii="Playfair Display" w:eastAsia="Playfair Display" w:hAnsi="Playfair Display" w:cs="Playfair Display"/>
          <w:b/>
          <w:bCs/>
          <w:color w:val="C8A951"/>
        </w:rPr>
        <w:t xml:space="preserve">02   </w:t>
      </w:r>
      <w:r>
        <w:rPr>
          <w:color w:val="1A365D"/>
        </w:rPr>
        <w:t>The Enterprise Workforce Challenge</w:t>
      </w:r>
      <w:r>
        <w:rPr>
          <w:color w:val="1A365D"/>
        </w:rPr>
        <w:tab/>
      </w:r>
      <w:r>
        <w:rPr>
          <w:color w:val="55636E"/>
        </w:rPr>
        <w:t>3</w:t>
      </w:r>
    </w:p>
    <w:p w14:paraId="57AA576F" w14:textId="77777777" w:rsidR="00A90118" w:rsidRDefault="00C00F4A">
      <w:pPr>
        <w:tabs>
          <w:tab w:val="right" w:leader="dot" w:pos="9360"/>
        </w:tabs>
        <w:spacing w:after="150"/>
      </w:pPr>
      <w:r>
        <w:rPr>
          <w:rFonts w:ascii="Playfair Display" w:eastAsia="Playfair Display" w:hAnsi="Playfair Display" w:cs="Playfair Display"/>
          <w:b/>
          <w:bCs/>
          <w:color w:val="C8A951"/>
        </w:rPr>
        <w:t xml:space="preserve">03   </w:t>
      </w:r>
      <w:r>
        <w:rPr>
          <w:color w:val="1A365D"/>
        </w:rPr>
        <w:t>Rethinking Capacity: The Augmentation Model</w:t>
      </w:r>
      <w:r>
        <w:rPr>
          <w:color w:val="1A365D"/>
        </w:rPr>
        <w:tab/>
      </w:r>
      <w:r>
        <w:rPr>
          <w:color w:val="55636E"/>
        </w:rPr>
        <w:t>4</w:t>
      </w:r>
    </w:p>
    <w:p w14:paraId="3CE91BF6" w14:textId="77777777" w:rsidR="00A90118" w:rsidRDefault="00C00F4A">
      <w:pPr>
        <w:tabs>
          <w:tab w:val="right" w:leader="dot" w:pos="9360"/>
        </w:tabs>
        <w:spacing w:after="150"/>
      </w:pPr>
      <w:r>
        <w:rPr>
          <w:rFonts w:ascii="Playfair Display" w:eastAsia="Playfair Display" w:hAnsi="Playfair Display" w:cs="Playfair Display"/>
          <w:b/>
          <w:bCs/>
          <w:color w:val="C8A951"/>
        </w:rPr>
        <w:t xml:space="preserve">04   </w:t>
      </w:r>
      <w:r>
        <w:rPr>
          <w:color w:val="1A365D"/>
        </w:rPr>
        <w:t>The TAS United Approach</w:t>
      </w:r>
      <w:r>
        <w:rPr>
          <w:color w:val="1A365D"/>
        </w:rPr>
        <w:tab/>
      </w:r>
      <w:r>
        <w:rPr>
          <w:color w:val="55636E"/>
        </w:rPr>
        <w:t>4</w:t>
      </w:r>
    </w:p>
    <w:p w14:paraId="55E26FA7" w14:textId="77777777" w:rsidR="00A90118" w:rsidRDefault="00C00F4A">
      <w:pPr>
        <w:tabs>
          <w:tab w:val="right" w:leader="dot" w:pos="9360"/>
        </w:tabs>
        <w:spacing w:after="150"/>
      </w:pPr>
      <w:r>
        <w:rPr>
          <w:rFonts w:ascii="Playfair Display" w:eastAsia="Playfair Display" w:hAnsi="Playfair Display" w:cs="Playfair Display"/>
          <w:b/>
          <w:bCs/>
          <w:color w:val="C8A951"/>
        </w:rPr>
        <w:t xml:space="preserve">05   </w:t>
      </w:r>
      <w:r>
        <w:rPr>
          <w:color w:val="1A365D"/>
        </w:rPr>
        <w:t>Core Benefits for Large Corporations</w:t>
      </w:r>
      <w:r>
        <w:rPr>
          <w:color w:val="1A365D"/>
        </w:rPr>
        <w:tab/>
      </w:r>
      <w:r>
        <w:rPr>
          <w:color w:val="55636E"/>
        </w:rPr>
        <w:t>5</w:t>
      </w:r>
    </w:p>
    <w:p w14:paraId="6AE237DA" w14:textId="77777777" w:rsidR="00A90118" w:rsidRDefault="00C00F4A">
      <w:pPr>
        <w:tabs>
          <w:tab w:val="right" w:leader="dot" w:pos="9360"/>
        </w:tabs>
        <w:spacing w:after="150"/>
      </w:pPr>
      <w:r>
        <w:rPr>
          <w:rFonts w:ascii="Playfair Display" w:eastAsia="Playfair Display" w:hAnsi="Playfair Display" w:cs="Playfair Display"/>
          <w:b/>
          <w:bCs/>
          <w:color w:val="C8A951"/>
        </w:rPr>
        <w:t xml:space="preserve">06   </w:t>
      </w:r>
      <w:r>
        <w:rPr>
          <w:color w:val="1A365D"/>
        </w:rPr>
        <w:t>Where Augmentation Delivers</w:t>
      </w:r>
      <w:r>
        <w:rPr>
          <w:color w:val="1A365D"/>
        </w:rPr>
        <w:tab/>
      </w:r>
      <w:r>
        <w:rPr>
          <w:color w:val="55636E"/>
        </w:rPr>
        <w:t>6</w:t>
      </w:r>
    </w:p>
    <w:p w14:paraId="03858C67" w14:textId="77777777" w:rsidR="00A90118" w:rsidRDefault="00C00F4A">
      <w:pPr>
        <w:tabs>
          <w:tab w:val="right" w:leader="dot" w:pos="9360"/>
        </w:tabs>
        <w:spacing w:after="150"/>
      </w:pPr>
      <w:r>
        <w:rPr>
          <w:rFonts w:ascii="Playfair Display" w:eastAsia="Playfair Display" w:hAnsi="Playfair Display" w:cs="Playfair Display"/>
          <w:b/>
          <w:bCs/>
          <w:color w:val="C8A951"/>
        </w:rPr>
        <w:t xml:space="preserve">07   </w:t>
      </w:r>
      <w:r>
        <w:rPr>
          <w:color w:val="1A365D"/>
        </w:rPr>
        <w:t>Security, Compliance &amp; Trust</w:t>
      </w:r>
      <w:r>
        <w:rPr>
          <w:color w:val="1A365D"/>
        </w:rPr>
        <w:tab/>
      </w:r>
      <w:r>
        <w:rPr>
          <w:color w:val="55636E"/>
        </w:rPr>
        <w:t>6</w:t>
      </w:r>
    </w:p>
    <w:p w14:paraId="3567F59B" w14:textId="77777777" w:rsidR="00A90118" w:rsidRDefault="00C00F4A">
      <w:pPr>
        <w:tabs>
          <w:tab w:val="right" w:leader="dot" w:pos="9360"/>
        </w:tabs>
        <w:spacing w:after="150"/>
      </w:pPr>
      <w:r>
        <w:rPr>
          <w:rFonts w:ascii="Playfair Display" w:eastAsia="Playfair Display" w:hAnsi="Playfair Display" w:cs="Playfair Display"/>
          <w:b/>
          <w:bCs/>
          <w:color w:val="C8A951"/>
        </w:rPr>
        <w:t xml:space="preserve">08   </w:t>
      </w:r>
      <w:r>
        <w:rPr>
          <w:color w:val="1A365D"/>
        </w:rPr>
        <w:t>How an Engagement Works</w:t>
      </w:r>
      <w:r>
        <w:rPr>
          <w:color w:val="1A365D"/>
        </w:rPr>
        <w:tab/>
      </w:r>
      <w:r>
        <w:rPr>
          <w:color w:val="55636E"/>
        </w:rPr>
        <w:t>7</w:t>
      </w:r>
    </w:p>
    <w:p w14:paraId="7045F8E6" w14:textId="77777777" w:rsidR="00A90118" w:rsidRDefault="00C00F4A">
      <w:pPr>
        <w:tabs>
          <w:tab w:val="right" w:leader="dot" w:pos="9360"/>
        </w:tabs>
        <w:spacing w:after="150"/>
      </w:pPr>
      <w:r>
        <w:rPr>
          <w:rFonts w:ascii="Playfair Display" w:eastAsia="Playfair Display" w:hAnsi="Playfair Display" w:cs="Playfair Display"/>
          <w:b/>
          <w:bCs/>
          <w:color w:val="C8A951"/>
        </w:rPr>
        <w:t xml:space="preserve">09   </w:t>
      </w:r>
      <w:r>
        <w:rPr>
          <w:color w:val="1A365D"/>
        </w:rPr>
        <w:t>Why TAS United</w:t>
      </w:r>
      <w:r>
        <w:rPr>
          <w:color w:val="1A365D"/>
        </w:rPr>
        <w:tab/>
      </w:r>
      <w:r>
        <w:rPr>
          <w:color w:val="55636E"/>
        </w:rPr>
        <w:t>7</w:t>
      </w:r>
    </w:p>
    <w:p w14:paraId="476A753B" w14:textId="77777777" w:rsidR="00A90118" w:rsidRDefault="00C00F4A">
      <w:pPr>
        <w:tabs>
          <w:tab w:val="right" w:leader="dot" w:pos="9360"/>
        </w:tabs>
        <w:spacing w:after="150"/>
      </w:pPr>
      <w:r>
        <w:rPr>
          <w:rFonts w:ascii="Playfair Display" w:eastAsia="Playfair Display" w:hAnsi="Playfair Display" w:cs="Playfair Display"/>
          <w:b/>
          <w:bCs/>
          <w:color w:val="C8A951"/>
        </w:rPr>
        <w:t xml:space="preserve">10   </w:t>
      </w:r>
      <w:r>
        <w:rPr>
          <w:color w:val="1A365D"/>
        </w:rPr>
        <w:t>Conclusion</w:t>
      </w:r>
      <w:r>
        <w:rPr>
          <w:color w:val="1A365D"/>
        </w:rPr>
        <w:tab/>
      </w:r>
      <w:r>
        <w:rPr>
          <w:color w:val="55636E"/>
        </w:rPr>
        <w:t>8</w:t>
      </w:r>
    </w:p>
    <w:p w14:paraId="5A204501" w14:textId="77777777" w:rsidR="00A90118" w:rsidRDefault="00C00F4A">
      <w:r>
        <w:br w:type="page"/>
      </w:r>
    </w:p>
    <w:p w14:paraId="230418C6" w14:textId="77777777" w:rsidR="00A90118" w:rsidRDefault="00C00F4A">
      <w:pPr>
        <w:pStyle w:val="Heading1"/>
        <w:pBdr>
          <w:bottom w:val="single" w:sz="14" w:space="6" w:color="C8A951"/>
        </w:pBdr>
      </w:pPr>
      <w:r>
        <w:rPr>
          <w:color w:val="C8A951"/>
        </w:rPr>
        <w:lastRenderedPageBreak/>
        <w:t xml:space="preserve">01   </w:t>
      </w:r>
      <w:r>
        <w:t>Executive Summary</w:t>
      </w:r>
    </w:p>
    <w:p w14:paraId="6F371C7F" w14:textId="77777777" w:rsidR="00A90118" w:rsidRDefault="00C00F4A">
      <w:pPr>
        <w:spacing w:after="160" w:line="276" w:lineRule="auto"/>
        <w:jc w:val="both"/>
      </w:pPr>
      <w:r>
        <w:t>For large corporations, workforce capacity has become one of the most volatile variables in the operating model. Customer demand spikes without warning, seasonal and campaign cycles strain fixed teams, and the cost of carrying permanent headcount through unpredictable troughs is harder than ever to justify. Hiring is slow, specialized talent is scarce, and the expectation of always-on, multilingual service keeps climbing.</w:t>
      </w:r>
    </w:p>
    <w:p w14:paraId="304D39A9" w14:textId="77777777" w:rsidR="00A90118" w:rsidRDefault="00C00F4A">
      <w:pPr>
        <w:spacing w:after="160" w:line="276" w:lineRule="auto"/>
        <w:jc w:val="both"/>
      </w:pPr>
      <w:r>
        <w:t>Staff augmentation — the practice of extending your workforce with specialized, on-demand talent that works under your direction — has emerged as a strategic answer. Rather than absorbing every fluctuation through permanent headcount, the enterprise gains a capacity layer that flexes with the business.</w:t>
      </w:r>
    </w:p>
    <w:p w14:paraId="1DA9D63F" w14:textId="77777777" w:rsidR="00A90118" w:rsidRDefault="00C00F4A">
      <w:pPr>
        <w:spacing w:after="160" w:line="276" w:lineRule="auto"/>
        <w:jc w:val="both"/>
      </w:pPr>
      <w:r>
        <w:t xml:space="preserve">This paper examines how enterprise staff augmentation, delivered through TAS United’s </w:t>
      </w:r>
      <w:r>
        <w:rPr>
          <w:b/>
          <w:bCs/>
        </w:rPr>
        <w:t>AI-Integrated Agent™</w:t>
      </w:r>
      <w:r>
        <w:t xml:space="preserve"> model, lets large organizations scale capacity up or down without the friction, fixed cost, and risk of traditional hiring. Drawing on four decades of contact-center and workforce operations, TAS United pairs vetted human talent with intelligent automation, enterprise-grade security, and fully bilingual operations to deliver a workforce that moves at the speed of demand.</w:t>
      </w:r>
    </w:p>
    <w:tbl>
      <w:tblPr>
        <w:tblW w:w="9360" w:type="dxa"/>
        <w:tblBorders>
          <w:left w:val="single" w:sz="24" w:space="0" w:color="C8A951"/>
        </w:tblBorders>
        <w:tblCellMar>
          <w:left w:w="10" w:type="dxa"/>
          <w:right w:w="10" w:type="dxa"/>
        </w:tblCellMar>
        <w:tblLook w:val="0000" w:firstRow="0" w:lastRow="0" w:firstColumn="0" w:lastColumn="0" w:noHBand="0" w:noVBand="0"/>
      </w:tblPr>
      <w:tblGrid>
        <w:gridCol w:w="9360"/>
      </w:tblGrid>
      <w:tr w:rsidR="00A90118" w14:paraId="16FF4B7B" w14:textId="77777777">
        <w:tblPrEx>
          <w:tblCellMar>
            <w:top w:w="0" w:type="dxa"/>
            <w:bottom w:w="0" w:type="dxa"/>
          </w:tblCellMar>
        </w:tblPrEx>
        <w:tc>
          <w:tcPr>
            <w:tcW w:w="9360" w:type="dxa"/>
            <w:shd w:val="clear" w:color="auto" w:fill="F7F1E1"/>
            <w:tcMar>
              <w:top w:w="160" w:type="dxa"/>
              <w:left w:w="240" w:type="dxa"/>
              <w:bottom w:w="160" w:type="dxa"/>
              <w:right w:w="240" w:type="dxa"/>
            </w:tcMar>
          </w:tcPr>
          <w:p w14:paraId="178CFE2A" w14:textId="77777777" w:rsidR="00A90118" w:rsidRDefault="00C00F4A">
            <w:r>
              <w:rPr>
                <w:b/>
                <w:bCs/>
                <w:color w:val="1A365D"/>
              </w:rPr>
              <w:t xml:space="preserve">The outcome for the enterprise: </w:t>
            </w:r>
            <w:r>
              <w:t>faster response to demand, a lower and more predictable cost base, and continuity that protects the customer experience through every peak, trough, and disruption.</w:t>
            </w:r>
          </w:p>
        </w:tc>
      </w:tr>
    </w:tbl>
    <w:p w14:paraId="5AFF6654" w14:textId="77777777" w:rsidR="00A90118" w:rsidRDefault="00C00F4A">
      <w:pPr>
        <w:pStyle w:val="Heading1"/>
        <w:pBdr>
          <w:bottom w:val="single" w:sz="14" w:space="6" w:color="C8A951"/>
        </w:pBdr>
      </w:pPr>
      <w:r>
        <w:rPr>
          <w:color w:val="C8A951"/>
        </w:rPr>
        <w:t xml:space="preserve">02   </w:t>
      </w:r>
      <w:r>
        <w:t>The Enterprise Workforce Challenge</w:t>
      </w:r>
    </w:p>
    <w:p w14:paraId="13058AA5" w14:textId="77777777" w:rsidR="00A90118" w:rsidRDefault="00C00F4A">
      <w:pPr>
        <w:spacing w:after="160" w:line="276" w:lineRule="auto"/>
        <w:jc w:val="both"/>
      </w:pPr>
      <w:r>
        <w:t xml:space="preserve">The modern enterprise is engineered for scale but rarely for flexibility. Headcount is typically the single largest </w:t>
      </w:r>
      <w:proofErr w:type="gramStart"/>
      <w:r>
        <w:t>line</w:t>
      </w:r>
      <w:proofErr w:type="gramEnd"/>
      <w:r>
        <w:t xml:space="preserve"> item in the operating budget — and the least elastic. When demand surges, hiring cannot keep pace: by the time roles are approved, candidates sourced, and new staff trained </w:t>
      </w:r>
      <w:proofErr w:type="gramStart"/>
      <w:r>
        <w:t>to</w:t>
      </w:r>
      <w:proofErr w:type="gramEnd"/>
      <w:r>
        <w:t xml:space="preserve"> productivity, the surge has often already passed. When demand falls, that same headcount hardens into a fixed cost that quietly erodes margin.</w:t>
      </w:r>
    </w:p>
    <w:p w14:paraId="56A4A585" w14:textId="77777777" w:rsidR="00A90118" w:rsidRDefault="00C00F4A">
      <w:pPr>
        <w:spacing w:after="160" w:line="276" w:lineRule="auto"/>
        <w:jc w:val="both"/>
      </w:pPr>
      <w:r>
        <w:t>Several forces have sharpened this tension over the past decade:</w:t>
      </w:r>
    </w:p>
    <w:p w14:paraId="056EC765" w14:textId="77777777" w:rsidR="00A90118" w:rsidRDefault="00C00F4A">
      <w:pPr>
        <w:pStyle w:val="ListParagraph"/>
        <w:numPr>
          <w:ilvl w:val="0"/>
          <w:numId w:val="2"/>
        </w:numPr>
        <w:spacing w:after="120" w:line="272" w:lineRule="auto"/>
      </w:pPr>
      <w:r>
        <w:rPr>
          <w:b/>
          <w:bCs/>
          <w:color w:val="1A365D"/>
        </w:rPr>
        <w:t xml:space="preserve">Volatility is now structural. </w:t>
      </w:r>
      <w:r>
        <w:t>Demand patterns that were once seasonal are increasingly driven by campaigns, product launches, market events, and external shocks — none of which respect a hiring calendar.</w:t>
      </w:r>
    </w:p>
    <w:p w14:paraId="05E42CA3" w14:textId="77777777" w:rsidR="00A90118" w:rsidRDefault="00C00F4A">
      <w:pPr>
        <w:pStyle w:val="ListParagraph"/>
        <w:numPr>
          <w:ilvl w:val="0"/>
          <w:numId w:val="2"/>
        </w:numPr>
        <w:spacing w:after="120" w:line="272" w:lineRule="auto"/>
      </w:pPr>
      <w:r>
        <w:rPr>
          <w:b/>
          <w:bCs/>
          <w:color w:val="1A365D"/>
        </w:rPr>
        <w:t xml:space="preserve">Time-to-productivity is unforgiving. </w:t>
      </w:r>
      <w:r>
        <w:t>Recruiting, onboarding, and ramping a new employee can take months and significant investment before any return materializes — a poor fit when the need is immediate and possibly temporary.</w:t>
      </w:r>
    </w:p>
    <w:p w14:paraId="1D910C82" w14:textId="77777777" w:rsidR="00A90118" w:rsidRDefault="00C00F4A">
      <w:pPr>
        <w:pStyle w:val="ListParagraph"/>
        <w:numPr>
          <w:ilvl w:val="0"/>
          <w:numId w:val="2"/>
        </w:numPr>
        <w:spacing w:after="120" w:line="272" w:lineRule="auto"/>
      </w:pPr>
      <w:r>
        <w:rPr>
          <w:b/>
          <w:bCs/>
          <w:color w:val="1A365D"/>
        </w:rPr>
        <w:t xml:space="preserve">Specialized skills are scarce. </w:t>
      </w:r>
      <w:r>
        <w:t>Clinical, bilingual, regulated, and technical roles compete in tight talent markets where the enterprise is one of many bidders.</w:t>
      </w:r>
    </w:p>
    <w:p w14:paraId="60999FE8" w14:textId="77777777" w:rsidR="00A90118" w:rsidRDefault="00C00F4A">
      <w:pPr>
        <w:pStyle w:val="ListParagraph"/>
        <w:numPr>
          <w:ilvl w:val="0"/>
          <w:numId w:val="2"/>
        </w:numPr>
        <w:spacing w:after="120" w:line="272" w:lineRule="auto"/>
      </w:pPr>
      <w:r>
        <w:rPr>
          <w:b/>
          <w:bCs/>
          <w:color w:val="1A365D"/>
        </w:rPr>
        <w:lastRenderedPageBreak/>
        <w:t xml:space="preserve">Coverage expectations have expanded. </w:t>
      </w:r>
      <w:r>
        <w:t>Customers expect responsive, around-the-clock, multilingual service. Staffing that standard internally across every shift and language is expensive and operationally complex.</w:t>
      </w:r>
    </w:p>
    <w:p w14:paraId="00986878" w14:textId="77777777" w:rsidR="00A90118" w:rsidRDefault="00C00F4A">
      <w:pPr>
        <w:pStyle w:val="ListParagraph"/>
        <w:numPr>
          <w:ilvl w:val="0"/>
          <w:numId w:val="2"/>
        </w:numPr>
        <w:spacing w:after="120" w:line="272" w:lineRule="auto"/>
      </w:pPr>
      <w:r>
        <w:rPr>
          <w:b/>
          <w:bCs/>
          <w:color w:val="1A365D"/>
        </w:rPr>
        <w:t xml:space="preserve">Fixed cost is a strategic liability. </w:t>
      </w:r>
      <w:r>
        <w:t>Carrying capacity for peak demand year-round means paying for idle headcount during every trough.</w:t>
      </w:r>
    </w:p>
    <w:p w14:paraId="71EC6742" w14:textId="77777777" w:rsidR="00A90118" w:rsidRDefault="00C00F4A">
      <w:pPr>
        <w:spacing w:after="160" w:line="276" w:lineRule="auto"/>
        <w:jc w:val="both"/>
      </w:pPr>
      <w:r>
        <w:t>The net effect is a persistent mismatch between the capacity an enterprise has and the capacity it needs at any given moment. Traditional hiring resolves this mismatch too slowly and too expensively. A different model is required.</w:t>
      </w:r>
    </w:p>
    <w:p w14:paraId="15423A81" w14:textId="77777777" w:rsidR="00A90118" w:rsidRDefault="00C00F4A">
      <w:pPr>
        <w:pStyle w:val="Heading1"/>
        <w:pBdr>
          <w:bottom w:val="single" w:sz="14" w:space="6" w:color="C8A951"/>
        </w:pBdr>
      </w:pPr>
      <w:r>
        <w:rPr>
          <w:color w:val="C8A951"/>
        </w:rPr>
        <w:t xml:space="preserve">03   </w:t>
      </w:r>
      <w:r>
        <w:t>Rethinking Capacity: The Augmentation Model</w:t>
      </w:r>
    </w:p>
    <w:p w14:paraId="28CB18B1" w14:textId="77777777" w:rsidR="00A90118" w:rsidRDefault="00C00F4A">
      <w:pPr>
        <w:spacing w:after="160" w:line="276" w:lineRule="auto"/>
        <w:jc w:val="both"/>
      </w:pPr>
      <w:r>
        <w:t>Staff augmentation reframes workforce capacity as a variable rather than a fixed commitment. Instead of meeting every fluctuation by adding or shedding permanent employees, the organization maintains a stable core team and extends it with specialized external talent that scales in step with demand.</w:t>
      </w:r>
    </w:p>
    <w:p w14:paraId="127F1020" w14:textId="77777777" w:rsidR="00A90118" w:rsidRDefault="00C00F4A">
      <w:pPr>
        <w:spacing w:after="160" w:line="276" w:lineRule="auto"/>
        <w:jc w:val="both"/>
      </w:pPr>
      <w:r>
        <w:t>It is important to distinguish augmentation from adjacent models: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4360"/>
        <w:gridCol w:w="2900"/>
      </w:tblGrid>
      <w:tr w:rsidR="00A90118" w14:paraId="0E137B9C" w14:textId="77777777">
        <w:tblPrEx>
          <w:tblCellMar>
            <w:top w:w="0" w:type="dxa"/>
            <w:bottom w:w="0" w:type="dxa"/>
          </w:tblCellMar>
        </w:tblPrEx>
        <w:trPr>
          <w:tblHeader/>
        </w:trPr>
        <w:tc>
          <w:tcPr>
            <w:tcW w:w="2100" w:type="dxa"/>
            <w:tcBorders>
              <w:top w:val="single" w:sz="2" w:space="0" w:color="D8DEE5"/>
              <w:left w:val="single" w:sz="2" w:space="0" w:color="D8DEE5"/>
              <w:bottom w:val="single" w:sz="2" w:space="0" w:color="D8DEE5"/>
              <w:right w:val="single" w:sz="2" w:space="0" w:color="D8DEE5"/>
            </w:tcBorders>
            <w:shd w:val="clear" w:color="auto" w:fill="1A365D"/>
            <w:tcMar>
              <w:top w:w="100" w:type="dxa"/>
              <w:left w:w="140" w:type="dxa"/>
              <w:bottom w:w="100" w:type="dxa"/>
              <w:right w:w="140" w:type="dxa"/>
            </w:tcMar>
          </w:tcPr>
          <w:p w14:paraId="2F9A5C97" w14:textId="77777777" w:rsidR="00A90118" w:rsidRDefault="00C00F4A">
            <w:r>
              <w:rPr>
                <w:b/>
                <w:bCs/>
                <w:color w:val="FFFFFF"/>
                <w:sz w:val="19"/>
                <w:szCs w:val="19"/>
              </w:rPr>
              <w:t>Model</w:t>
            </w:r>
          </w:p>
        </w:tc>
        <w:tc>
          <w:tcPr>
            <w:tcW w:w="4360" w:type="dxa"/>
            <w:tcBorders>
              <w:top w:val="single" w:sz="2" w:space="0" w:color="D8DEE5"/>
              <w:left w:val="single" w:sz="2" w:space="0" w:color="D8DEE5"/>
              <w:bottom w:val="single" w:sz="2" w:space="0" w:color="D8DEE5"/>
              <w:right w:val="single" w:sz="2" w:space="0" w:color="D8DEE5"/>
            </w:tcBorders>
            <w:shd w:val="clear" w:color="auto" w:fill="1A365D"/>
            <w:tcMar>
              <w:top w:w="100" w:type="dxa"/>
              <w:left w:w="140" w:type="dxa"/>
              <w:bottom w:w="100" w:type="dxa"/>
              <w:right w:w="140" w:type="dxa"/>
            </w:tcMar>
          </w:tcPr>
          <w:p w14:paraId="4FDED2D6" w14:textId="77777777" w:rsidR="00A90118" w:rsidRDefault="00C00F4A">
            <w:r>
              <w:rPr>
                <w:b/>
                <w:bCs/>
                <w:color w:val="FFFFFF"/>
                <w:sz w:val="19"/>
                <w:szCs w:val="19"/>
              </w:rPr>
              <w:t>What it means</w:t>
            </w:r>
          </w:p>
        </w:tc>
        <w:tc>
          <w:tcPr>
            <w:tcW w:w="2900" w:type="dxa"/>
            <w:tcBorders>
              <w:top w:val="single" w:sz="2" w:space="0" w:color="D8DEE5"/>
              <w:left w:val="single" w:sz="2" w:space="0" w:color="D8DEE5"/>
              <w:bottom w:val="single" w:sz="2" w:space="0" w:color="D8DEE5"/>
              <w:right w:val="single" w:sz="2" w:space="0" w:color="D8DEE5"/>
            </w:tcBorders>
            <w:shd w:val="clear" w:color="auto" w:fill="1A365D"/>
            <w:tcMar>
              <w:top w:w="100" w:type="dxa"/>
              <w:left w:w="140" w:type="dxa"/>
              <w:bottom w:w="100" w:type="dxa"/>
              <w:right w:w="140" w:type="dxa"/>
            </w:tcMar>
          </w:tcPr>
          <w:p w14:paraId="324B4E9C" w14:textId="77777777" w:rsidR="00A90118" w:rsidRDefault="00C00F4A">
            <w:r>
              <w:rPr>
                <w:b/>
                <w:bCs/>
                <w:color w:val="FFFFFF"/>
                <w:sz w:val="19"/>
                <w:szCs w:val="19"/>
              </w:rPr>
              <w:t>Best suited for</w:t>
            </w:r>
          </w:p>
        </w:tc>
      </w:tr>
      <w:tr w:rsidR="00A90118" w14:paraId="5E0746B2" w14:textId="77777777">
        <w:tblPrEx>
          <w:tblCellMar>
            <w:top w:w="0" w:type="dxa"/>
            <w:bottom w:w="0" w:type="dxa"/>
          </w:tblCellMar>
        </w:tblPrEx>
        <w:tc>
          <w:tcPr>
            <w:tcW w:w="210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1C79C759" w14:textId="77777777" w:rsidR="00A90118" w:rsidRDefault="00C00F4A">
            <w:r>
              <w:rPr>
                <w:b/>
                <w:bCs/>
                <w:sz w:val="19"/>
                <w:szCs w:val="19"/>
              </w:rPr>
              <w:t>Staff Augmentation</w:t>
            </w:r>
          </w:p>
        </w:tc>
        <w:tc>
          <w:tcPr>
            <w:tcW w:w="436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06E1533D" w14:textId="77777777" w:rsidR="00A90118" w:rsidRDefault="00C00F4A">
            <w:r>
              <w:rPr>
                <w:sz w:val="19"/>
                <w:szCs w:val="19"/>
              </w:rPr>
              <w:t>External talent integrated into your operations, under your direction and standards, scaled up or down on demand.</w:t>
            </w:r>
          </w:p>
        </w:tc>
        <w:tc>
          <w:tcPr>
            <w:tcW w:w="290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0D42FD97" w14:textId="77777777" w:rsidR="00A90118" w:rsidRDefault="00C00F4A">
            <w:r>
              <w:rPr>
                <w:sz w:val="19"/>
                <w:szCs w:val="19"/>
              </w:rPr>
              <w:t>Flexible capacity that preserves enterprise control.</w:t>
            </w:r>
          </w:p>
        </w:tc>
      </w:tr>
      <w:tr w:rsidR="00A90118" w14:paraId="5793BD37" w14:textId="77777777">
        <w:tblPrEx>
          <w:tblCellMar>
            <w:top w:w="0" w:type="dxa"/>
            <w:bottom w:w="0" w:type="dxa"/>
          </w:tblCellMar>
        </w:tblPrEx>
        <w:tc>
          <w:tcPr>
            <w:tcW w:w="2100" w:type="dxa"/>
            <w:tcBorders>
              <w:top w:val="single" w:sz="2" w:space="0" w:color="D8DEE5"/>
              <w:left w:val="single" w:sz="2" w:space="0" w:color="D8DEE5"/>
              <w:bottom w:val="single" w:sz="2" w:space="0" w:color="D8DEE5"/>
              <w:right w:val="single" w:sz="2" w:space="0" w:color="D8DEE5"/>
            </w:tcBorders>
            <w:shd w:val="clear" w:color="auto" w:fill="FFFFFF"/>
            <w:tcMar>
              <w:top w:w="100" w:type="dxa"/>
              <w:left w:w="140" w:type="dxa"/>
              <w:bottom w:w="100" w:type="dxa"/>
              <w:right w:w="140" w:type="dxa"/>
            </w:tcMar>
          </w:tcPr>
          <w:p w14:paraId="58300762" w14:textId="77777777" w:rsidR="00A90118" w:rsidRDefault="00C00F4A">
            <w:r>
              <w:rPr>
                <w:b/>
                <w:bCs/>
                <w:sz w:val="19"/>
                <w:szCs w:val="19"/>
              </w:rPr>
              <w:t>Full Outsourcing</w:t>
            </w:r>
          </w:p>
        </w:tc>
        <w:tc>
          <w:tcPr>
            <w:tcW w:w="4360" w:type="dxa"/>
            <w:tcBorders>
              <w:top w:val="single" w:sz="2" w:space="0" w:color="D8DEE5"/>
              <w:left w:val="single" w:sz="2" w:space="0" w:color="D8DEE5"/>
              <w:bottom w:val="single" w:sz="2" w:space="0" w:color="D8DEE5"/>
              <w:right w:val="single" w:sz="2" w:space="0" w:color="D8DEE5"/>
            </w:tcBorders>
            <w:shd w:val="clear" w:color="auto" w:fill="FFFFFF"/>
            <w:tcMar>
              <w:top w:w="100" w:type="dxa"/>
              <w:left w:w="140" w:type="dxa"/>
              <w:bottom w:w="100" w:type="dxa"/>
              <w:right w:w="140" w:type="dxa"/>
            </w:tcMar>
          </w:tcPr>
          <w:p w14:paraId="459829F2" w14:textId="77777777" w:rsidR="00A90118" w:rsidRDefault="00C00F4A">
            <w:r>
              <w:rPr>
                <w:sz w:val="19"/>
                <w:szCs w:val="19"/>
              </w:rPr>
              <w:t>An entire function handed to a third party who owns the process end to end.</w:t>
            </w:r>
          </w:p>
        </w:tc>
        <w:tc>
          <w:tcPr>
            <w:tcW w:w="2900" w:type="dxa"/>
            <w:tcBorders>
              <w:top w:val="single" w:sz="2" w:space="0" w:color="D8DEE5"/>
              <w:left w:val="single" w:sz="2" w:space="0" w:color="D8DEE5"/>
              <w:bottom w:val="single" w:sz="2" w:space="0" w:color="D8DEE5"/>
              <w:right w:val="single" w:sz="2" w:space="0" w:color="D8DEE5"/>
            </w:tcBorders>
            <w:shd w:val="clear" w:color="auto" w:fill="FFFFFF"/>
            <w:tcMar>
              <w:top w:w="100" w:type="dxa"/>
              <w:left w:w="140" w:type="dxa"/>
              <w:bottom w:w="100" w:type="dxa"/>
              <w:right w:w="140" w:type="dxa"/>
            </w:tcMar>
          </w:tcPr>
          <w:p w14:paraId="798DFF9A" w14:textId="77777777" w:rsidR="00A90118" w:rsidRDefault="00C00F4A">
            <w:r>
              <w:rPr>
                <w:sz w:val="19"/>
                <w:szCs w:val="19"/>
              </w:rPr>
              <w:t>Non-core functions the enterprise wants to fully divest.</w:t>
            </w:r>
          </w:p>
        </w:tc>
      </w:tr>
      <w:tr w:rsidR="00A90118" w14:paraId="2F4143B0" w14:textId="77777777">
        <w:tblPrEx>
          <w:tblCellMar>
            <w:top w:w="0" w:type="dxa"/>
            <w:bottom w:w="0" w:type="dxa"/>
          </w:tblCellMar>
        </w:tblPrEx>
        <w:tc>
          <w:tcPr>
            <w:tcW w:w="210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59CED400" w14:textId="77777777" w:rsidR="00A90118" w:rsidRDefault="00C00F4A">
            <w:r>
              <w:rPr>
                <w:b/>
                <w:bCs/>
                <w:sz w:val="19"/>
                <w:szCs w:val="19"/>
              </w:rPr>
              <w:t>Temp Staffing</w:t>
            </w:r>
          </w:p>
        </w:tc>
        <w:tc>
          <w:tcPr>
            <w:tcW w:w="436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6EA7E8DA" w14:textId="77777777" w:rsidR="00A90118" w:rsidRDefault="00C00F4A">
            <w:r>
              <w:rPr>
                <w:sz w:val="19"/>
                <w:szCs w:val="19"/>
              </w:rPr>
              <w:t>Short-term workers placed to fill seats, typically with limited training or integration.</w:t>
            </w:r>
          </w:p>
        </w:tc>
        <w:tc>
          <w:tcPr>
            <w:tcW w:w="290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3A9CDFC4" w14:textId="77777777" w:rsidR="00A90118" w:rsidRDefault="00C00F4A">
            <w:r>
              <w:rPr>
                <w:sz w:val="19"/>
                <w:szCs w:val="19"/>
              </w:rPr>
              <w:t>Coverage of routine gaps with minimal specialization.</w:t>
            </w:r>
          </w:p>
        </w:tc>
      </w:tr>
    </w:tbl>
    <w:p w14:paraId="75CE7679" w14:textId="77777777" w:rsidR="00A90118" w:rsidRDefault="00C00F4A">
      <w:pPr>
        <w:spacing w:after="160" w:line="276" w:lineRule="auto"/>
        <w:jc w:val="both"/>
      </w:pPr>
      <w:r>
        <w:t>Augmentation’s defining advantage is that it adds capacity without surrendering control. The enterprise keeps ownership of its standards, brand voice, and customer relationships while gaining a workforce that expands and contracts as conditions change.</w:t>
      </w:r>
    </w:p>
    <w:p w14:paraId="0CA4015D" w14:textId="77777777" w:rsidR="00A90118" w:rsidRDefault="00C00F4A">
      <w:pPr>
        <w:pStyle w:val="Heading1"/>
        <w:pBdr>
          <w:bottom w:val="single" w:sz="14" w:space="6" w:color="C8A951"/>
        </w:pBdr>
      </w:pPr>
      <w:r>
        <w:rPr>
          <w:color w:val="C8A951"/>
        </w:rPr>
        <w:t xml:space="preserve">04   </w:t>
      </w:r>
      <w:r>
        <w:t>The TAS United Approach</w:t>
      </w:r>
    </w:p>
    <w:p w14:paraId="0AD4F493" w14:textId="77777777" w:rsidR="00A90118" w:rsidRDefault="00C00F4A">
      <w:pPr>
        <w:spacing w:after="160" w:line="276" w:lineRule="auto"/>
        <w:jc w:val="both"/>
      </w:pPr>
      <w:r>
        <w:t xml:space="preserve">TAS United was founded in 1984 as a healthcare-exclusive answering service and has spent four decades operating in one of the most demanding, highly regulated, customer-sensitive environments in existence. The disciplines forged there — accuracy, security, empathy, and reliability under pressure — now extend to enterprises across industries through the </w:t>
      </w:r>
      <w:r>
        <w:rPr>
          <w:b/>
          <w:bCs/>
        </w:rPr>
        <w:t>AI-Integrated Agent™</w:t>
      </w:r>
      <w:r>
        <w:t xml:space="preserve"> model.</w:t>
      </w:r>
    </w:p>
    <w:p w14:paraId="26B77030" w14:textId="77777777" w:rsidR="00A90118" w:rsidRDefault="00C00F4A">
      <w:pPr>
        <w:pStyle w:val="Heading2"/>
      </w:pPr>
      <w:r>
        <w:t>A hybrid model: human talent, intelligent automation</w:t>
      </w:r>
    </w:p>
    <w:p w14:paraId="6657B189" w14:textId="77777777" w:rsidR="00A90118" w:rsidRDefault="00C00F4A">
      <w:pPr>
        <w:spacing w:after="160" w:line="276" w:lineRule="auto"/>
        <w:jc w:val="both"/>
      </w:pPr>
      <w:r>
        <w:lastRenderedPageBreak/>
        <w:t>The AI-Integrated Agent™ approach blends trained human professionals with intelligent automation. Routine, high-volume, and repetitive interactions are handled or accelerated by automation, while nuanced, sensitive, and judgment-intensive work is routed to skilled people. The enterprise gets the throughput and consistency of technology and the empathy and discernment of human staff — in one coordinated team.</w:t>
      </w:r>
    </w:p>
    <w:p w14:paraId="4D42B547" w14:textId="77777777" w:rsidR="00A90118" w:rsidRDefault="00C00F4A">
      <w:pPr>
        <w:pStyle w:val="Heading2"/>
      </w:pPr>
      <w:r>
        <w:t>Built for the enterprise, by design</w:t>
      </w:r>
    </w:p>
    <w:p w14:paraId="13313CD6" w14:textId="77777777" w:rsidR="00A90118" w:rsidRDefault="00C00F4A">
      <w:pPr>
        <w:spacing w:after="160" w:line="276" w:lineRule="auto"/>
        <w:jc w:val="both"/>
      </w:pPr>
      <w:r>
        <w:t>Bilingual English and Spanish operations span the continental U.S. and Puerto Rico, giving large organizations genuine multilingual reach and built-in geographic redundancy. HITRUST r2 certification means security and compliance are foundational rather than retrofitted. And because the model was proven against healthcare’s exacting standards, the rigor an enterprise inherits is far higher than the typical staffing engagement provides.</w:t>
      </w:r>
    </w:p>
    <w:tbl>
      <w:tblPr>
        <w:tblW w:w="9360" w:type="dxa"/>
        <w:tblBorders>
          <w:insideV w:val="single" w:sz="6" w:space="0" w:color="FFFFFF"/>
        </w:tblBorders>
        <w:tblCellMar>
          <w:left w:w="10" w:type="dxa"/>
          <w:right w:w="10" w:type="dxa"/>
        </w:tblCellMar>
        <w:tblLook w:val="0000" w:firstRow="0" w:lastRow="0" w:firstColumn="0" w:lastColumn="0" w:noHBand="0" w:noVBand="0"/>
      </w:tblPr>
      <w:tblGrid>
        <w:gridCol w:w="3120"/>
        <w:gridCol w:w="3120"/>
        <w:gridCol w:w="3120"/>
      </w:tblGrid>
      <w:tr w:rsidR="00A90118" w14:paraId="58D6188A" w14:textId="77777777">
        <w:tblPrEx>
          <w:tblCellMar>
            <w:top w:w="0" w:type="dxa"/>
            <w:bottom w:w="0" w:type="dxa"/>
          </w:tblCellMar>
        </w:tblPrEx>
        <w:tc>
          <w:tcPr>
            <w:tcW w:w="3120" w:type="dxa"/>
            <w:shd w:val="clear" w:color="auto" w:fill="1A365D"/>
            <w:tcMar>
              <w:top w:w="200" w:type="dxa"/>
              <w:left w:w="120" w:type="dxa"/>
              <w:bottom w:w="200" w:type="dxa"/>
              <w:right w:w="120" w:type="dxa"/>
            </w:tcMar>
            <w:vAlign w:val="center"/>
          </w:tcPr>
          <w:p w14:paraId="62F7A1A0" w14:textId="77777777" w:rsidR="00A90118" w:rsidRDefault="00C00F4A">
            <w:pPr>
              <w:spacing w:after="40"/>
              <w:jc w:val="center"/>
            </w:pPr>
            <w:r>
              <w:rPr>
                <w:rFonts w:ascii="Playfair Display" w:eastAsia="Playfair Display" w:hAnsi="Playfair Display" w:cs="Playfair Display"/>
                <w:b/>
                <w:bCs/>
                <w:color w:val="C8A951"/>
                <w:sz w:val="40"/>
                <w:szCs w:val="40"/>
              </w:rPr>
              <w:t>40+</w:t>
            </w:r>
          </w:p>
          <w:p w14:paraId="510066B1" w14:textId="77777777" w:rsidR="00A90118" w:rsidRDefault="00C00F4A">
            <w:pPr>
              <w:jc w:val="center"/>
            </w:pPr>
            <w:r>
              <w:rPr>
                <w:color w:val="FFFFFF"/>
                <w:sz w:val="17"/>
                <w:szCs w:val="17"/>
              </w:rPr>
              <w:t>Years in workforce operations</w:t>
            </w:r>
          </w:p>
        </w:tc>
        <w:tc>
          <w:tcPr>
            <w:tcW w:w="3120" w:type="dxa"/>
            <w:shd w:val="clear" w:color="auto" w:fill="1A365D"/>
            <w:tcMar>
              <w:top w:w="200" w:type="dxa"/>
              <w:left w:w="120" w:type="dxa"/>
              <w:bottom w:w="200" w:type="dxa"/>
              <w:right w:w="120" w:type="dxa"/>
            </w:tcMar>
            <w:vAlign w:val="center"/>
          </w:tcPr>
          <w:p w14:paraId="17707FE7" w14:textId="77777777" w:rsidR="00A90118" w:rsidRDefault="00C00F4A">
            <w:pPr>
              <w:spacing w:after="40"/>
              <w:jc w:val="center"/>
            </w:pPr>
            <w:r>
              <w:rPr>
                <w:rFonts w:ascii="Playfair Display" w:eastAsia="Playfair Display" w:hAnsi="Playfair Display" w:cs="Playfair Display"/>
                <w:b/>
                <w:bCs/>
                <w:color w:val="C8A951"/>
                <w:sz w:val="40"/>
                <w:szCs w:val="40"/>
              </w:rPr>
              <w:t>HITRUST r2</w:t>
            </w:r>
          </w:p>
          <w:p w14:paraId="51E76E19" w14:textId="77777777" w:rsidR="00A90118" w:rsidRDefault="00C00F4A">
            <w:pPr>
              <w:jc w:val="center"/>
            </w:pPr>
            <w:r>
              <w:rPr>
                <w:color w:val="FFFFFF"/>
                <w:sz w:val="17"/>
                <w:szCs w:val="17"/>
              </w:rPr>
              <w:t>Certified security posture</w:t>
            </w:r>
          </w:p>
        </w:tc>
        <w:tc>
          <w:tcPr>
            <w:tcW w:w="3120" w:type="dxa"/>
            <w:shd w:val="clear" w:color="auto" w:fill="1A365D"/>
            <w:tcMar>
              <w:top w:w="200" w:type="dxa"/>
              <w:left w:w="120" w:type="dxa"/>
              <w:bottom w:w="200" w:type="dxa"/>
              <w:right w:w="120" w:type="dxa"/>
            </w:tcMar>
            <w:vAlign w:val="center"/>
          </w:tcPr>
          <w:p w14:paraId="3677A33A" w14:textId="77777777" w:rsidR="00A90118" w:rsidRDefault="00C00F4A">
            <w:pPr>
              <w:spacing w:after="40"/>
              <w:jc w:val="center"/>
            </w:pPr>
            <w:r>
              <w:rPr>
                <w:rFonts w:ascii="Playfair Display" w:eastAsia="Playfair Display" w:hAnsi="Playfair Display" w:cs="Playfair Display"/>
                <w:b/>
                <w:bCs/>
                <w:color w:val="C8A951"/>
                <w:sz w:val="40"/>
                <w:szCs w:val="40"/>
              </w:rPr>
              <w:t>EN / ES</w:t>
            </w:r>
          </w:p>
          <w:p w14:paraId="26BDC25C" w14:textId="77777777" w:rsidR="00A90118" w:rsidRDefault="00C00F4A">
            <w:pPr>
              <w:jc w:val="center"/>
            </w:pPr>
            <w:r>
              <w:rPr>
                <w:color w:val="FFFFFF"/>
                <w:sz w:val="17"/>
                <w:szCs w:val="17"/>
              </w:rPr>
              <w:t>Fully bilingual, two-site</w:t>
            </w:r>
          </w:p>
        </w:tc>
      </w:tr>
    </w:tbl>
    <w:p w14:paraId="28784D29" w14:textId="77777777" w:rsidR="00A90118" w:rsidRDefault="00C00F4A">
      <w:pPr>
        <w:pStyle w:val="Heading1"/>
        <w:pBdr>
          <w:bottom w:val="single" w:sz="14" w:space="6" w:color="C8A951"/>
        </w:pBdr>
      </w:pPr>
      <w:r>
        <w:rPr>
          <w:color w:val="C8A951"/>
        </w:rPr>
        <w:t xml:space="preserve">05   </w:t>
      </w:r>
      <w:r>
        <w:t>Core Benefits for Large Corporations</w:t>
      </w:r>
    </w:p>
    <w:p w14:paraId="2A34EE5F" w14:textId="77777777" w:rsidR="00A90118" w:rsidRDefault="00C00F4A">
      <w:pPr>
        <w:spacing w:after="160" w:line="276" w:lineRule="auto"/>
        <w:jc w:val="both"/>
      </w:pPr>
      <w:r>
        <w:t>Across industries, enterprise leaders adopting augmentation report a consistent set of advantages. The seven below are the most material to large-organization economics and operations.</w:t>
      </w:r>
    </w:p>
    <w:p w14:paraId="4BA96922" w14:textId="77777777" w:rsidR="00A90118" w:rsidRDefault="00C00F4A">
      <w:pPr>
        <w:pStyle w:val="Heading2"/>
      </w:pPr>
      <w:r>
        <w:t>1.  Elastic scalability</w:t>
      </w:r>
    </w:p>
    <w:p w14:paraId="3D332727" w14:textId="77777777" w:rsidR="00A90118" w:rsidRDefault="00C00F4A">
      <w:pPr>
        <w:spacing w:after="160" w:line="276" w:lineRule="auto"/>
        <w:jc w:val="both"/>
      </w:pPr>
      <w:r>
        <w:t>Capacity expands and contracts with demand. A campaign launch, a seasonal peak, an acquisition, or a sudden volume spike is absorbed by adding augmented capacity — then released when the surge subsides. The enterprise stops paying for peak capacity during every trough and stops scrambling to staff during every peak.</w:t>
      </w:r>
    </w:p>
    <w:p w14:paraId="6E71C8EC" w14:textId="77777777" w:rsidR="00A90118" w:rsidRDefault="00C00F4A">
      <w:pPr>
        <w:pStyle w:val="Heading2"/>
      </w:pPr>
      <w:r>
        <w:t>2.  A transformed cost structure</w:t>
      </w:r>
    </w:p>
    <w:p w14:paraId="1E360A0F" w14:textId="77777777" w:rsidR="00A90118" w:rsidRDefault="00C00F4A">
      <w:pPr>
        <w:spacing w:after="160" w:line="276" w:lineRule="auto"/>
        <w:jc w:val="both"/>
      </w:pPr>
      <w:r>
        <w:t>Augmentation converts a large block of fixed labor cost into a variable, demand-linked expense. Beyond base salary, permanent headcount carries recruiting, benefits, training, management overhead, facilities, and the cost of idle time. An augmentation model collapses much of that into a single, predictable, usage-aligned arrangement — making budgets easier to forecast and defend.</w:t>
      </w:r>
    </w:p>
    <w:p w14:paraId="1A2CB2E6" w14:textId="77777777" w:rsidR="00A90118" w:rsidRDefault="00C00F4A">
      <w:pPr>
        <w:pStyle w:val="Heading2"/>
      </w:pPr>
      <w:r>
        <w:t xml:space="preserve">3.  Speed </w:t>
      </w:r>
      <w:proofErr w:type="gramStart"/>
      <w:r>
        <w:t>to</w:t>
      </w:r>
      <w:proofErr w:type="gramEnd"/>
      <w:r>
        <w:t xml:space="preserve"> deployment</w:t>
      </w:r>
    </w:p>
    <w:p w14:paraId="3FD7E60A" w14:textId="77777777" w:rsidR="00A90118" w:rsidRDefault="00C00F4A">
      <w:pPr>
        <w:spacing w:after="160" w:line="276" w:lineRule="auto"/>
        <w:jc w:val="both"/>
      </w:pPr>
      <w:r>
        <w:t>Because the talent is pre-vetted, trained, and supported by established infrastructure, augmented capacity comes online in a fraction of the time a hiring cycle requires. When the need is urgent — or temporary — speed is often the difference between capturing demand and losing it.</w:t>
      </w:r>
    </w:p>
    <w:p w14:paraId="58A0E838" w14:textId="77777777" w:rsidR="00A90118" w:rsidRDefault="00C00F4A">
      <w:pPr>
        <w:pStyle w:val="Heading2"/>
      </w:pPr>
      <w:r>
        <w:lastRenderedPageBreak/>
        <w:t>4.  Bilingual reach, built in</w:t>
      </w:r>
    </w:p>
    <w:p w14:paraId="2FF99D56" w14:textId="77777777" w:rsidR="00A90118" w:rsidRDefault="00C00F4A">
      <w:pPr>
        <w:spacing w:after="160" w:line="276" w:lineRule="auto"/>
        <w:jc w:val="both"/>
      </w:pPr>
      <w:r>
        <w:t>Serving English- and Spanish-speaking customers at the same standard is a competitive necessity for most large U.S. enterprises. TAS United’s bilingual operations make multilingual coverage a default capability rather than a separate hiring problem to solve.</w:t>
      </w:r>
    </w:p>
    <w:p w14:paraId="1615C2CA" w14:textId="77777777" w:rsidR="00A90118" w:rsidRDefault="00C00F4A">
      <w:pPr>
        <w:pStyle w:val="Heading2"/>
      </w:pPr>
      <w:r>
        <w:t>5.  Enterprise-grade security and compliance</w:t>
      </w:r>
    </w:p>
    <w:p w14:paraId="5BDE6AFD" w14:textId="77777777" w:rsidR="00A90118" w:rsidRDefault="00C00F4A">
      <w:pPr>
        <w:spacing w:after="160" w:line="276" w:lineRule="auto"/>
        <w:jc w:val="both"/>
      </w:pPr>
      <w:r>
        <w:t>HITRUST r2 certification — a benchmark set by the demands of protected health information — means data handling, access controls, and compliance discipline meet a bar few staffing providers approach. For enterprises in any regulated or data-sensitive context, this materially reduces risk.</w:t>
      </w:r>
    </w:p>
    <w:p w14:paraId="7EBB612B" w14:textId="77777777" w:rsidR="00A90118" w:rsidRDefault="00C00F4A">
      <w:pPr>
        <w:pStyle w:val="Heading2"/>
      </w:pPr>
      <w:r>
        <w:t>6.  Built-in business continuity</w:t>
      </w:r>
    </w:p>
    <w:p w14:paraId="758BB916" w14:textId="77777777" w:rsidR="00A90118" w:rsidRDefault="00C00F4A">
      <w:pPr>
        <w:spacing w:after="160" w:line="276" w:lineRule="auto"/>
        <w:jc w:val="both"/>
      </w:pPr>
      <w:r>
        <w:t>Operations across two geographies provide natural redundancy. When weather, outage, or local disruption affects one site, the other sustains service. Augmented capacity also functions as a continuity reserve, absorbing volume when an enterprise’s own operations are constrained.</w:t>
      </w:r>
    </w:p>
    <w:p w14:paraId="0C48749C" w14:textId="77777777" w:rsidR="00A90118" w:rsidRDefault="00C00F4A">
      <w:pPr>
        <w:pStyle w:val="Heading2"/>
      </w:pPr>
      <w:r>
        <w:t>7.  Consistent, measurable quality</w:t>
      </w:r>
    </w:p>
    <w:p w14:paraId="52AE42A3" w14:textId="77777777" w:rsidR="00A90118" w:rsidRDefault="00C00F4A">
      <w:pPr>
        <w:spacing w:after="160" w:line="276" w:lineRule="auto"/>
        <w:jc w:val="both"/>
      </w:pPr>
      <w:r>
        <w:t xml:space="preserve">Decades of contact-center operations have produced mature quality assurance, training, and performance-measurement practices. Service levels are defined, monitored, and reported — so augmented capacity is held to standards the enterprise can see and verify, not simply trusted </w:t>
      </w:r>
      <w:proofErr w:type="gramStart"/>
      <w:r>
        <w:t>on</w:t>
      </w:r>
      <w:proofErr w:type="gramEnd"/>
      <w:r>
        <w:t xml:space="preserve"> faith.</w:t>
      </w:r>
    </w:p>
    <w:p w14:paraId="023F4960" w14:textId="77777777" w:rsidR="00A90118" w:rsidRDefault="00C00F4A">
      <w:pPr>
        <w:pStyle w:val="Heading1"/>
        <w:pBdr>
          <w:bottom w:val="single" w:sz="14" w:space="6" w:color="C8A951"/>
        </w:pBdr>
      </w:pPr>
      <w:r>
        <w:rPr>
          <w:color w:val="C8A951"/>
        </w:rPr>
        <w:t xml:space="preserve">06   </w:t>
      </w:r>
      <w:r>
        <w:t>Where Augmentation Delivers</w:t>
      </w:r>
    </w:p>
    <w:p w14:paraId="50EE9967" w14:textId="77777777" w:rsidR="00A90118" w:rsidRDefault="00C00F4A">
      <w:pPr>
        <w:spacing w:after="160" w:line="276" w:lineRule="auto"/>
        <w:jc w:val="both"/>
      </w:pPr>
      <w:r>
        <w:t xml:space="preserve">The model applies wherever capacity needs are variable, specialized, or </w:t>
      </w:r>
      <w:proofErr w:type="gramStart"/>
      <w:r>
        <w:t>time-sensitive</w:t>
      </w:r>
      <w:proofErr w:type="gramEnd"/>
      <w:r>
        <w:t>. Common enterprise applications include: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A90118" w14:paraId="4514E788" w14:textId="77777777">
        <w:tblPrEx>
          <w:tblCellMar>
            <w:top w:w="0" w:type="dxa"/>
            <w:bottom w:w="0" w:type="dxa"/>
          </w:tblCellMar>
        </w:tblPrEx>
        <w:trPr>
          <w:tblHeader/>
        </w:trPr>
        <w:tc>
          <w:tcPr>
            <w:tcW w:w="2700" w:type="dxa"/>
            <w:tcBorders>
              <w:top w:val="single" w:sz="2" w:space="0" w:color="D8DEE5"/>
              <w:left w:val="single" w:sz="2" w:space="0" w:color="D8DEE5"/>
              <w:bottom w:val="single" w:sz="2" w:space="0" w:color="D8DEE5"/>
              <w:right w:val="single" w:sz="2" w:space="0" w:color="D8DEE5"/>
            </w:tcBorders>
            <w:shd w:val="clear" w:color="auto" w:fill="1A365D"/>
            <w:tcMar>
              <w:top w:w="100" w:type="dxa"/>
              <w:left w:w="140" w:type="dxa"/>
              <w:bottom w:w="100" w:type="dxa"/>
              <w:right w:w="140" w:type="dxa"/>
            </w:tcMar>
          </w:tcPr>
          <w:p w14:paraId="6C7FE0BB" w14:textId="77777777" w:rsidR="00A90118" w:rsidRDefault="00C00F4A">
            <w:r>
              <w:rPr>
                <w:b/>
                <w:bCs/>
                <w:color w:val="FFFFFF"/>
                <w:sz w:val="19"/>
                <w:szCs w:val="19"/>
              </w:rPr>
              <w:t>Application</w:t>
            </w:r>
          </w:p>
        </w:tc>
        <w:tc>
          <w:tcPr>
            <w:tcW w:w="6660" w:type="dxa"/>
            <w:tcBorders>
              <w:top w:val="single" w:sz="2" w:space="0" w:color="D8DEE5"/>
              <w:left w:val="single" w:sz="2" w:space="0" w:color="D8DEE5"/>
              <w:bottom w:val="single" w:sz="2" w:space="0" w:color="D8DEE5"/>
              <w:right w:val="single" w:sz="2" w:space="0" w:color="D8DEE5"/>
            </w:tcBorders>
            <w:shd w:val="clear" w:color="auto" w:fill="1A365D"/>
            <w:tcMar>
              <w:top w:w="100" w:type="dxa"/>
              <w:left w:w="140" w:type="dxa"/>
              <w:bottom w:w="100" w:type="dxa"/>
              <w:right w:w="140" w:type="dxa"/>
            </w:tcMar>
          </w:tcPr>
          <w:p w14:paraId="00DD4E63" w14:textId="77777777" w:rsidR="00A90118" w:rsidRDefault="00C00F4A">
            <w:r>
              <w:rPr>
                <w:b/>
                <w:bCs/>
                <w:color w:val="FFFFFF"/>
                <w:sz w:val="19"/>
                <w:szCs w:val="19"/>
              </w:rPr>
              <w:t>How augmentation helps</w:t>
            </w:r>
          </w:p>
        </w:tc>
      </w:tr>
      <w:tr w:rsidR="00A90118" w14:paraId="5A3282EB" w14:textId="77777777">
        <w:tblPrEx>
          <w:tblCellMar>
            <w:top w:w="0" w:type="dxa"/>
            <w:bottom w:w="0" w:type="dxa"/>
          </w:tblCellMar>
        </w:tblPrEx>
        <w:tc>
          <w:tcPr>
            <w:tcW w:w="270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4E0335C2" w14:textId="77777777" w:rsidR="00A90118" w:rsidRDefault="00C00F4A">
            <w:r>
              <w:rPr>
                <w:b/>
                <w:bCs/>
                <w:sz w:val="19"/>
                <w:szCs w:val="19"/>
              </w:rPr>
              <w:t>Overflow &amp; after-hours</w:t>
            </w:r>
          </w:p>
        </w:tc>
        <w:tc>
          <w:tcPr>
            <w:tcW w:w="666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6C322140" w14:textId="77777777" w:rsidR="00A90118" w:rsidRDefault="00C00F4A">
            <w:r>
              <w:rPr>
                <w:sz w:val="19"/>
                <w:szCs w:val="19"/>
              </w:rPr>
              <w:t>Catch the calls and messages a fixed team cannot, around the clock, without permanent night-shift headcount.</w:t>
            </w:r>
          </w:p>
        </w:tc>
      </w:tr>
      <w:tr w:rsidR="00A90118" w14:paraId="5345DC4F" w14:textId="77777777">
        <w:tblPrEx>
          <w:tblCellMar>
            <w:top w:w="0" w:type="dxa"/>
            <w:bottom w:w="0" w:type="dxa"/>
          </w:tblCellMar>
        </w:tblPrEx>
        <w:tc>
          <w:tcPr>
            <w:tcW w:w="2700" w:type="dxa"/>
            <w:tcBorders>
              <w:top w:val="single" w:sz="2" w:space="0" w:color="D8DEE5"/>
              <w:left w:val="single" w:sz="2" w:space="0" w:color="D8DEE5"/>
              <w:bottom w:val="single" w:sz="2" w:space="0" w:color="D8DEE5"/>
              <w:right w:val="single" w:sz="2" w:space="0" w:color="D8DEE5"/>
            </w:tcBorders>
            <w:shd w:val="clear" w:color="auto" w:fill="FFFFFF"/>
            <w:tcMar>
              <w:top w:w="100" w:type="dxa"/>
              <w:left w:w="140" w:type="dxa"/>
              <w:bottom w:w="100" w:type="dxa"/>
              <w:right w:w="140" w:type="dxa"/>
            </w:tcMar>
          </w:tcPr>
          <w:p w14:paraId="5ED55626" w14:textId="77777777" w:rsidR="00A90118" w:rsidRDefault="00C00F4A">
            <w:r>
              <w:rPr>
                <w:b/>
                <w:bCs/>
                <w:sz w:val="19"/>
                <w:szCs w:val="19"/>
              </w:rPr>
              <w:t>Seasonal &amp; campaign surge</w:t>
            </w:r>
          </w:p>
        </w:tc>
        <w:tc>
          <w:tcPr>
            <w:tcW w:w="6660" w:type="dxa"/>
            <w:tcBorders>
              <w:top w:val="single" w:sz="2" w:space="0" w:color="D8DEE5"/>
              <w:left w:val="single" w:sz="2" w:space="0" w:color="D8DEE5"/>
              <w:bottom w:val="single" w:sz="2" w:space="0" w:color="D8DEE5"/>
              <w:right w:val="single" w:sz="2" w:space="0" w:color="D8DEE5"/>
            </w:tcBorders>
            <w:shd w:val="clear" w:color="auto" w:fill="FFFFFF"/>
            <w:tcMar>
              <w:top w:w="100" w:type="dxa"/>
              <w:left w:w="140" w:type="dxa"/>
              <w:bottom w:w="100" w:type="dxa"/>
              <w:right w:w="140" w:type="dxa"/>
            </w:tcMar>
          </w:tcPr>
          <w:p w14:paraId="3956D568" w14:textId="77777777" w:rsidR="00A90118" w:rsidRDefault="00C00F4A">
            <w:r>
              <w:rPr>
                <w:sz w:val="19"/>
                <w:szCs w:val="19"/>
              </w:rPr>
              <w:t>Scale up for promotions, enrollment windows, and peak seasons — then scale back down.</w:t>
            </w:r>
          </w:p>
        </w:tc>
      </w:tr>
      <w:tr w:rsidR="00A90118" w14:paraId="6B146656" w14:textId="77777777">
        <w:tblPrEx>
          <w:tblCellMar>
            <w:top w:w="0" w:type="dxa"/>
            <w:bottom w:w="0" w:type="dxa"/>
          </w:tblCellMar>
        </w:tblPrEx>
        <w:tc>
          <w:tcPr>
            <w:tcW w:w="270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3A21A142" w14:textId="77777777" w:rsidR="00A90118" w:rsidRDefault="00C00F4A">
            <w:r>
              <w:rPr>
                <w:b/>
                <w:bCs/>
                <w:sz w:val="19"/>
                <w:szCs w:val="19"/>
              </w:rPr>
              <w:t>Market &amp; product launches</w:t>
            </w:r>
          </w:p>
        </w:tc>
        <w:tc>
          <w:tcPr>
            <w:tcW w:w="666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373443A8" w14:textId="77777777" w:rsidR="00A90118" w:rsidRDefault="00C00F4A">
            <w:r>
              <w:rPr>
                <w:sz w:val="19"/>
                <w:szCs w:val="19"/>
              </w:rPr>
              <w:t>Stand up responsive capacity quickly to support a launch without long-term commitment.</w:t>
            </w:r>
          </w:p>
        </w:tc>
      </w:tr>
      <w:tr w:rsidR="00A90118" w14:paraId="1E688FBE" w14:textId="77777777">
        <w:tblPrEx>
          <w:tblCellMar>
            <w:top w:w="0" w:type="dxa"/>
            <w:bottom w:w="0" w:type="dxa"/>
          </w:tblCellMar>
        </w:tblPrEx>
        <w:tc>
          <w:tcPr>
            <w:tcW w:w="2700" w:type="dxa"/>
            <w:tcBorders>
              <w:top w:val="single" w:sz="2" w:space="0" w:color="D8DEE5"/>
              <w:left w:val="single" w:sz="2" w:space="0" w:color="D8DEE5"/>
              <w:bottom w:val="single" w:sz="2" w:space="0" w:color="D8DEE5"/>
              <w:right w:val="single" w:sz="2" w:space="0" w:color="D8DEE5"/>
            </w:tcBorders>
            <w:shd w:val="clear" w:color="auto" w:fill="FFFFFF"/>
            <w:tcMar>
              <w:top w:w="100" w:type="dxa"/>
              <w:left w:w="140" w:type="dxa"/>
              <w:bottom w:w="100" w:type="dxa"/>
              <w:right w:w="140" w:type="dxa"/>
            </w:tcMar>
          </w:tcPr>
          <w:p w14:paraId="08A6D713" w14:textId="77777777" w:rsidR="00A90118" w:rsidRDefault="00C00F4A">
            <w:r>
              <w:rPr>
                <w:b/>
                <w:bCs/>
                <w:sz w:val="19"/>
                <w:szCs w:val="19"/>
              </w:rPr>
              <w:t>Specialized functions</w:t>
            </w:r>
          </w:p>
        </w:tc>
        <w:tc>
          <w:tcPr>
            <w:tcW w:w="6660" w:type="dxa"/>
            <w:tcBorders>
              <w:top w:val="single" w:sz="2" w:space="0" w:color="D8DEE5"/>
              <w:left w:val="single" w:sz="2" w:space="0" w:color="D8DEE5"/>
              <w:bottom w:val="single" w:sz="2" w:space="0" w:color="D8DEE5"/>
              <w:right w:val="single" w:sz="2" w:space="0" w:color="D8DEE5"/>
            </w:tcBorders>
            <w:shd w:val="clear" w:color="auto" w:fill="FFFFFF"/>
            <w:tcMar>
              <w:top w:w="100" w:type="dxa"/>
              <w:left w:w="140" w:type="dxa"/>
              <w:bottom w:w="100" w:type="dxa"/>
              <w:right w:w="140" w:type="dxa"/>
            </w:tcMar>
          </w:tcPr>
          <w:p w14:paraId="0395A1B0" w14:textId="77777777" w:rsidR="00A90118" w:rsidRDefault="00C00F4A">
            <w:r>
              <w:rPr>
                <w:sz w:val="19"/>
                <w:szCs w:val="19"/>
              </w:rPr>
              <w:t>Access clinical triage, bilingual service, and regulated-industry support without recruiting for scarce skills.</w:t>
            </w:r>
          </w:p>
        </w:tc>
      </w:tr>
      <w:tr w:rsidR="00A90118" w14:paraId="00BA0BDA" w14:textId="77777777">
        <w:tblPrEx>
          <w:tblCellMar>
            <w:top w:w="0" w:type="dxa"/>
            <w:bottom w:w="0" w:type="dxa"/>
          </w:tblCellMar>
        </w:tblPrEx>
        <w:tc>
          <w:tcPr>
            <w:tcW w:w="270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2C5F2558" w14:textId="77777777" w:rsidR="00A90118" w:rsidRDefault="00C00F4A">
            <w:r>
              <w:rPr>
                <w:b/>
                <w:bCs/>
                <w:sz w:val="19"/>
                <w:szCs w:val="19"/>
              </w:rPr>
              <w:t>Back-office &amp; administrative</w:t>
            </w:r>
          </w:p>
        </w:tc>
        <w:tc>
          <w:tcPr>
            <w:tcW w:w="6660" w:type="dxa"/>
            <w:tcBorders>
              <w:top w:val="single" w:sz="2" w:space="0" w:color="D8DEE5"/>
              <w:left w:val="single" w:sz="2" w:space="0" w:color="D8DEE5"/>
              <w:bottom w:val="single" w:sz="2" w:space="0" w:color="D8DEE5"/>
              <w:right w:val="single" w:sz="2" w:space="0" w:color="D8DEE5"/>
            </w:tcBorders>
            <w:shd w:val="clear" w:color="auto" w:fill="EBF0F5"/>
            <w:tcMar>
              <w:top w:w="100" w:type="dxa"/>
              <w:left w:w="140" w:type="dxa"/>
              <w:bottom w:w="100" w:type="dxa"/>
              <w:right w:w="140" w:type="dxa"/>
            </w:tcMar>
          </w:tcPr>
          <w:p w14:paraId="59287915" w14:textId="77777777" w:rsidR="00A90118" w:rsidRDefault="00C00F4A">
            <w:r>
              <w:rPr>
                <w:sz w:val="19"/>
                <w:szCs w:val="19"/>
              </w:rPr>
              <w:t>Offload appointment management, intake, and routine processing to free internal staff for higher-value work.</w:t>
            </w:r>
          </w:p>
        </w:tc>
      </w:tr>
      <w:tr w:rsidR="00A90118" w14:paraId="44B68CD2" w14:textId="77777777">
        <w:tblPrEx>
          <w:tblCellMar>
            <w:top w:w="0" w:type="dxa"/>
            <w:bottom w:w="0" w:type="dxa"/>
          </w:tblCellMar>
        </w:tblPrEx>
        <w:tc>
          <w:tcPr>
            <w:tcW w:w="2700" w:type="dxa"/>
            <w:tcBorders>
              <w:top w:val="single" w:sz="2" w:space="0" w:color="D8DEE5"/>
              <w:left w:val="single" w:sz="2" w:space="0" w:color="D8DEE5"/>
              <w:bottom w:val="single" w:sz="2" w:space="0" w:color="D8DEE5"/>
              <w:right w:val="single" w:sz="2" w:space="0" w:color="D8DEE5"/>
            </w:tcBorders>
            <w:shd w:val="clear" w:color="auto" w:fill="FFFFFF"/>
            <w:tcMar>
              <w:top w:w="100" w:type="dxa"/>
              <w:left w:w="140" w:type="dxa"/>
              <w:bottom w:w="100" w:type="dxa"/>
              <w:right w:w="140" w:type="dxa"/>
            </w:tcMar>
          </w:tcPr>
          <w:p w14:paraId="7C6548EA" w14:textId="77777777" w:rsidR="00A90118" w:rsidRDefault="00C00F4A">
            <w:r>
              <w:rPr>
                <w:b/>
                <w:bCs/>
                <w:sz w:val="19"/>
                <w:szCs w:val="19"/>
              </w:rPr>
              <w:lastRenderedPageBreak/>
              <w:t>Business continuity</w:t>
            </w:r>
          </w:p>
        </w:tc>
        <w:tc>
          <w:tcPr>
            <w:tcW w:w="6660" w:type="dxa"/>
            <w:tcBorders>
              <w:top w:val="single" w:sz="2" w:space="0" w:color="D8DEE5"/>
              <w:left w:val="single" w:sz="2" w:space="0" w:color="D8DEE5"/>
              <w:bottom w:val="single" w:sz="2" w:space="0" w:color="D8DEE5"/>
              <w:right w:val="single" w:sz="2" w:space="0" w:color="D8DEE5"/>
            </w:tcBorders>
            <w:shd w:val="clear" w:color="auto" w:fill="FFFFFF"/>
            <w:tcMar>
              <w:top w:w="100" w:type="dxa"/>
              <w:left w:w="140" w:type="dxa"/>
              <w:bottom w:w="100" w:type="dxa"/>
              <w:right w:w="140" w:type="dxa"/>
            </w:tcMar>
          </w:tcPr>
          <w:p w14:paraId="54AB24FB" w14:textId="77777777" w:rsidR="00A90118" w:rsidRDefault="00C00F4A">
            <w:r>
              <w:rPr>
                <w:sz w:val="19"/>
                <w:szCs w:val="19"/>
              </w:rPr>
              <w:t>Maintain service through disruptions with geographically redundant, on-demand capacity.</w:t>
            </w:r>
          </w:p>
        </w:tc>
      </w:tr>
    </w:tbl>
    <w:p w14:paraId="2A4533C0" w14:textId="77777777" w:rsidR="00A90118" w:rsidRDefault="00C00F4A">
      <w:pPr>
        <w:pStyle w:val="Heading1"/>
        <w:pBdr>
          <w:bottom w:val="single" w:sz="14" w:space="6" w:color="C8A951"/>
        </w:pBdr>
      </w:pPr>
      <w:r>
        <w:rPr>
          <w:color w:val="C8A951"/>
        </w:rPr>
        <w:t xml:space="preserve">07   </w:t>
      </w:r>
      <w:r>
        <w:t>Security, Compliance &amp; Trust</w:t>
      </w:r>
    </w:p>
    <w:p w14:paraId="3BDF0FF6" w14:textId="77777777" w:rsidR="00A90118" w:rsidRDefault="00C00F4A">
      <w:pPr>
        <w:spacing w:after="160" w:line="276" w:lineRule="auto"/>
        <w:jc w:val="both"/>
      </w:pPr>
      <w:r>
        <w:t>For large corporations, a workforce partner is also a data partner. Every interaction may touch sensitive customer, financial, or regulated information, and the enterprise remains accountable for how that information is handled.</w:t>
      </w:r>
    </w:p>
    <w:p w14:paraId="77742795" w14:textId="77777777" w:rsidR="00A90118" w:rsidRDefault="00C00F4A">
      <w:pPr>
        <w:spacing w:after="160" w:line="276" w:lineRule="auto"/>
        <w:jc w:val="both"/>
      </w:pPr>
      <w:r>
        <w:t xml:space="preserve">TAS United holds </w:t>
      </w:r>
      <w:r>
        <w:rPr>
          <w:b/>
          <w:bCs/>
        </w:rPr>
        <w:t>HITRUST r2 certification</w:t>
      </w:r>
      <w:r>
        <w:t xml:space="preserve"> — one of the most rigorous, comprehensive security and compliance frameworks available, originally built around the protection of health information. In practice, that means documented controls over data access and handling, continuous compliance discipline, and an audited security posture that stands up to enterprise procurement and risk review.</w:t>
      </w:r>
    </w:p>
    <w:tbl>
      <w:tblPr>
        <w:tblW w:w="9360" w:type="dxa"/>
        <w:tblBorders>
          <w:left w:val="single" w:sz="24" w:space="0" w:color="2D7A7A"/>
        </w:tblBorders>
        <w:tblCellMar>
          <w:left w:w="10" w:type="dxa"/>
          <w:right w:w="10" w:type="dxa"/>
        </w:tblCellMar>
        <w:tblLook w:val="0000" w:firstRow="0" w:lastRow="0" w:firstColumn="0" w:lastColumn="0" w:noHBand="0" w:noVBand="0"/>
      </w:tblPr>
      <w:tblGrid>
        <w:gridCol w:w="9360"/>
      </w:tblGrid>
      <w:tr w:rsidR="00A90118" w14:paraId="561D5763" w14:textId="77777777">
        <w:tblPrEx>
          <w:tblCellMar>
            <w:top w:w="0" w:type="dxa"/>
            <w:bottom w:w="0" w:type="dxa"/>
          </w:tblCellMar>
        </w:tblPrEx>
        <w:tc>
          <w:tcPr>
            <w:tcW w:w="9360" w:type="dxa"/>
            <w:shd w:val="clear" w:color="auto" w:fill="E6F0EF"/>
            <w:tcMar>
              <w:top w:w="160" w:type="dxa"/>
              <w:left w:w="240" w:type="dxa"/>
              <w:bottom w:w="160" w:type="dxa"/>
              <w:right w:w="240" w:type="dxa"/>
            </w:tcMar>
          </w:tcPr>
          <w:p w14:paraId="3E1F6974" w14:textId="77777777" w:rsidR="00A90118" w:rsidRDefault="00C00F4A">
            <w:r>
              <w:rPr>
                <w:b/>
                <w:bCs/>
                <w:color w:val="2D7A7A"/>
              </w:rPr>
              <w:t xml:space="preserve">Why it matters: </w:t>
            </w:r>
            <w:r>
              <w:t>security built for healthcare sets a higher floor than security built for convenience. Enterprises inherit that floor on day one — across every vertical they deploy augmented capacity into.</w:t>
            </w:r>
          </w:p>
        </w:tc>
      </w:tr>
    </w:tbl>
    <w:p w14:paraId="3EAE5F69" w14:textId="77777777" w:rsidR="00A90118" w:rsidRDefault="00C00F4A">
      <w:pPr>
        <w:pStyle w:val="Heading1"/>
        <w:pBdr>
          <w:bottom w:val="single" w:sz="14" w:space="6" w:color="C8A951"/>
        </w:pBdr>
      </w:pPr>
      <w:r>
        <w:rPr>
          <w:color w:val="C8A951"/>
        </w:rPr>
        <w:t xml:space="preserve">08   </w:t>
      </w:r>
      <w:r>
        <w:t>How an Engagement Works</w:t>
      </w:r>
    </w:p>
    <w:p w14:paraId="428F0EF1" w14:textId="77777777" w:rsidR="00A90118" w:rsidRDefault="00C00F4A">
      <w:pPr>
        <w:spacing w:after="160" w:line="276" w:lineRule="auto"/>
        <w:jc w:val="both"/>
      </w:pPr>
      <w:r>
        <w:t>Adopting augmentation is a structured, low-friction process designed to integrate with — not disrupt — existing operations:</w:t>
      </w:r>
    </w:p>
    <w:p w14:paraId="053D1E8D" w14:textId="77777777" w:rsidR="00A90118" w:rsidRDefault="00C00F4A">
      <w:pPr>
        <w:pStyle w:val="ListParagraph"/>
        <w:numPr>
          <w:ilvl w:val="0"/>
          <w:numId w:val="3"/>
        </w:numPr>
        <w:spacing w:after="130" w:line="272" w:lineRule="auto"/>
      </w:pPr>
      <w:r>
        <w:rPr>
          <w:b/>
          <w:bCs/>
          <w:color w:val="1A365D"/>
        </w:rPr>
        <w:t xml:space="preserve">Discovery and scoping.  </w:t>
      </w:r>
      <w:r>
        <w:t xml:space="preserve">We map demand patterns, service standards, languages, coverage windows, and compliance requirements to </w:t>
      </w:r>
      <w:proofErr w:type="spellStart"/>
      <w:r>
        <w:t>size</w:t>
      </w:r>
      <w:proofErr w:type="spellEnd"/>
      <w:r>
        <w:t xml:space="preserve"> the opportunity precisely.</w:t>
      </w:r>
    </w:p>
    <w:p w14:paraId="14C9C963" w14:textId="77777777" w:rsidR="00A90118" w:rsidRDefault="00C00F4A">
      <w:pPr>
        <w:pStyle w:val="ListParagraph"/>
        <w:numPr>
          <w:ilvl w:val="0"/>
          <w:numId w:val="3"/>
        </w:numPr>
        <w:spacing w:after="130" w:line="272" w:lineRule="auto"/>
      </w:pPr>
      <w:r>
        <w:rPr>
          <w:b/>
          <w:bCs/>
          <w:color w:val="1A365D"/>
        </w:rPr>
        <w:t xml:space="preserve">Solution design.  </w:t>
      </w:r>
      <w:r>
        <w:t>We define the right blend of human talent and automation, the service levels, the reporting cadence, and the scaling triggers.</w:t>
      </w:r>
    </w:p>
    <w:p w14:paraId="1C3F9D5B" w14:textId="77777777" w:rsidR="00A90118" w:rsidRDefault="00C00F4A">
      <w:pPr>
        <w:pStyle w:val="ListParagraph"/>
        <w:numPr>
          <w:ilvl w:val="0"/>
          <w:numId w:val="3"/>
        </w:numPr>
        <w:spacing w:after="130" w:line="272" w:lineRule="auto"/>
      </w:pPr>
      <w:r>
        <w:rPr>
          <w:b/>
          <w:bCs/>
          <w:color w:val="1A365D"/>
        </w:rPr>
        <w:t xml:space="preserve">Onboarding and integration.  </w:t>
      </w:r>
      <w:r>
        <w:t xml:space="preserve">Augmented staff are trained </w:t>
      </w:r>
      <w:proofErr w:type="gramStart"/>
      <w:r>
        <w:t>on</w:t>
      </w:r>
      <w:proofErr w:type="gramEnd"/>
      <w:r>
        <w:t xml:space="preserve"> your brand voice, processes, and systems so they operate as a seamless extension of your team.</w:t>
      </w:r>
    </w:p>
    <w:p w14:paraId="4F845CFC" w14:textId="77777777" w:rsidR="00A90118" w:rsidRDefault="00C00F4A">
      <w:pPr>
        <w:pStyle w:val="ListParagraph"/>
        <w:numPr>
          <w:ilvl w:val="0"/>
          <w:numId w:val="3"/>
        </w:numPr>
        <w:spacing w:after="130" w:line="272" w:lineRule="auto"/>
      </w:pPr>
      <w:r>
        <w:rPr>
          <w:b/>
          <w:bCs/>
          <w:color w:val="1A365D"/>
        </w:rPr>
        <w:t xml:space="preserve">Launch and calibration.  </w:t>
      </w:r>
      <w:r>
        <w:t>Service goes live with close monitoring; performance is measured against agreed targets and tuned quickly.</w:t>
      </w:r>
    </w:p>
    <w:p w14:paraId="23F020D7" w14:textId="77777777" w:rsidR="00A90118" w:rsidRDefault="00C00F4A">
      <w:pPr>
        <w:pStyle w:val="ListParagraph"/>
        <w:numPr>
          <w:ilvl w:val="0"/>
          <w:numId w:val="3"/>
        </w:numPr>
        <w:spacing w:after="130" w:line="272" w:lineRule="auto"/>
      </w:pPr>
      <w:r>
        <w:rPr>
          <w:b/>
          <w:bCs/>
          <w:color w:val="1A365D"/>
        </w:rPr>
        <w:t xml:space="preserve">Ongoing optimization.  </w:t>
      </w:r>
      <w:r>
        <w:t>Capacity flexes with demand, quality is continuously reviewed, and the engagement adapts as the business evolves.</w:t>
      </w:r>
    </w:p>
    <w:p w14:paraId="4E28A428" w14:textId="77777777" w:rsidR="00A90118" w:rsidRDefault="00C00F4A">
      <w:pPr>
        <w:pStyle w:val="Heading1"/>
        <w:pBdr>
          <w:bottom w:val="single" w:sz="14" w:space="6" w:color="C8A951"/>
        </w:pBdr>
      </w:pPr>
      <w:r>
        <w:rPr>
          <w:color w:val="C8A951"/>
        </w:rPr>
        <w:t xml:space="preserve">09   </w:t>
      </w:r>
      <w:r>
        <w:t>Why TAS United</w:t>
      </w:r>
    </w:p>
    <w:p w14:paraId="082E7A63" w14:textId="77777777" w:rsidR="00A90118" w:rsidRDefault="00C00F4A">
      <w:pPr>
        <w:spacing w:after="160" w:line="276" w:lineRule="auto"/>
        <w:jc w:val="both"/>
      </w:pPr>
      <w:r>
        <w:lastRenderedPageBreak/>
        <w:t>Many providers can supply bodies. Few can supply an enterprise-grade workforce capability with the security posture, bilingual reach, and operational maturity that large organizations require. TAS United’s differentiation is concrete:</w:t>
      </w:r>
    </w:p>
    <w:p w14:paraId="7A19D1FF" w14:textId="77777777" w:rsidR="00A90118" w:rsidRDefault="00C00F4A">
      <w:pPr>
        <w:pStyle w:val="ListParagraph"/>
        <w:numPr>
          <w:ilvl w:val="0"/>
          <w:numId w:val="2"/>
        </w:numPr>
        <w:spacing w:after="120" w:line="272" w:lineRule="auto"/>
      </w:pPr>
      <w:r>
        <w:rPr>
          <w:b/>
          <w:bCs/>
          <w:color w:val="1A365D"/>
        </w:rPr>
        <w:t xml:space="preserve">Four decades of operating discipline </w:t>
      </w:r>
      <w:r>
        <w:t>in one of the most demanding service environments that exists.</w:t>
      </w:r>
    </w:p>
    <w:p w14:paraId="4B9A2004" w14:textId="77777777" w:rsidR="00A90118" w:rsidRDefault="00C00F4A">
      <w:pPr>
        <w:pStyle w:val="ListParagraph"/>
        <w:numPr>
          <w:ilvl w:val="0"/>
          <w:numId w:val="2"/>
        </w:numPr>
        <w:spacing w:after="120" w:line="272" w:lineRule="auto"/>
      </w:pPr>
      <w:r>
        <w:rPr>
          <w:b/>
          <w:bCs/>
          <w:color w:val="1A365D"/>
        </w:rPr>
        <w:t xml:space="preserve">A genuine hybrid model </w:t>
      </w:r>
      <w:r>
        <w:t>that combines human judgment with intelligent automation — not one at the expense of the other.</w:t>
      </w:r>
    </w:p>
    <w:p w14:paraId="72CB275F" w14:textId="77777777" w:rsidR="00A90118" w:rsidRDefault="00C00F4A">
      <w:pPr>
        <w:pStyle w:val="ListParagraph"/>
        <w:numPr>
          <w:ilvl w:val="0"/>
          <w:numId w:val="2"/>
        </w:numPr>
        <w:spacing w:after="120" w:line="272" w:lineRule="auto"/>
      </w:pPr>
      <w:r>
        <w:rPr>
          <w:b/>
          <w:bCs/>
          <w:color w:val="1A365D"/>
        </w:rPr>
        <w:t xml:space="preserve">HITRUST r2 certification </w:t>
      </w:r>
      <w:r>
        <w:t>that satisfies enterprise security and procurement requirements out of the gate.</w:t>
      </w:r>
    </w:p>
    <w:p w14:paraId="76B25341" w14:textId="77777777" w:rsidR="00A90118" w:rsidRDefault="00C00F4A">
      <w:pPr>
        <w:pStyle w:val="ListParagraph"/>
        <w:numPr>
          <w:ilvl w:val="0"/>
          <w:numId w:val="2"/>
        </w:numPr>
        <w:spacing w:after="120" w:line="272" w:lineRule="auto"/>
      </w:pPr>
      <w:r>
        <w:rPr>
          <w:b/>
          <w:bCs/>
          <w:color w:val="1A365D"/>
        </w:rPr>
        <w:t xml:space="preserve">Fully bilingual, two-site operations </w:t>
      </w:r>
      <w:r>
        <w:t>across the U.S. and Puerto Rico for reach and redundancy.</w:t>
      </w:r>
    </w:p>
    <w:p w14:paraId="3230EC9C" w14:textId="77777777" w:rsidR="00A90118" w:rsidRDefault="00C00F4A">
      <w:pPr>
        <w:pStyle w:val="ListParagraph"/>
        <w:numPr>
          <w:ilvl w:val="0"/>
          <w:numId w:val="2"/>
        </w:numPr>
        <w:spacing w:after="120" w:line="272" w:lineRule="auto"/>
      </w:pPr>
      <w:r>
        <w:rPr>
          <w:b/>
          <w:bCs/>
          <w:color w:val="1A365D"/>
        </w:rPr>
        <w:t xml:space="preserve">Healthcare-grade rigor </w:t>
      </w:r>
      <w:r>
        <w:t>applied to every vertical — a higher standard than augmentation buyers typically encounter.</w:t>
      </w:r>
    </w:p>
    <w:p w14:paraId="19F1EA3A" w14:textId="77777777" w:rsidR="00A90118" w:rsidRDefault="00C00F4A">
      <w:pPr>
        <w:pStyle w:val="Heading1"/>
        <w:pBdr>
          <w:bottom w:val="single" w:sz="14" w:space="6" w:color="C8A951"/>
        </w:pBdr>
      </w:pPr>
      <w:r>
        <w:rPr>
          <w:color w:val="C8A951"/>
        </w:rPr>
        <w:t xml:space="preserve">10   </w:t>
      </w:r>
      <w:r>
        <w:t>Conclusion</w:t>
      </w:r>
    </w:p>
    <w:p w14:paraId="70B36678" w14:textId="77777777" w:rsidR="00A90118" w:rsidRDefault="00C00F4A">
      <w:pPr>
        <w:spacing w:after="160" w:line="276" w:lineRule="auto"/>
        <w:jc w:val="both"/>
      </w:pPr>
      <w:r>
        <w:t>The enterprises that thrive through volatility are not those with the most headcount — they are those whose capacity can move with demand. Staff augmentation gives large organizations exactly that: the ability to scale up for opportunity, scale down for discipline, and maintain an exceptional customer experience throughout.</w:t>
      </w:r>
    </w:p>
    <w:p w14:paraId="2D6EFAA9" w14:textId="77777777" w:rsidR="00A90118" w:rsidRDefault="00C00F4A">
      <w:pPr>
        <w:spacing w:after="160" w:line="276" w:lineRule="auto"/>
        <w:jc w:val="both"/>
      </w:pPr>
      <w:r>
        <w:t xml:space="preserve">TAS United brings to that model four decades of operational rigor, a proven human-plus-automation approach, enterprise-grade security, and bilingual reach — a workforce capability built for the way large corporations </w:t>
      </w:r>
      <w:proofErr w:type="gramStart"/>
      <w:r>
        <w:t>actually need</w:t>
      </w:r>
      <w:proofErr w:type="gramEnd"/>
      <w:r>
        <w:t xml:space="preserve"> to operate. Scaling no longer </w:t>
      </w:r>
      <w:proofErr w:type="gramStart"/>
      <w:r>
        <w:t>has to</w:t>
      </w:r>
      <w:proofErr w:type="gramEnd"/>
      <w:r>
        <w:t xml:space="preserve"> mean strain.</w:t>
      </w:r>
    </w:p>
    <w:tbl>
      <w:tblPr>
        <w:tblW w:w="9360" w:type="dxa"/>
        <w:tblBorders>
          <w:left w:val="single" w:sz="24" w:space="0" w:color="C8A951"/>
        </w:tblBorders>
        <w:tblCellMar>
          <w:left w:w="10" w:type="dxa"/>
          <w:right w:w="10" w:type="dxa"/>
        </w:tblCellMar>
        <w:tblLook w:val="0000" w:firstRow="0" w:lastRow="0" w:firstColumn="0" w:lastColumn="0" w:noHBand="0" w:noVBand="0"/>
      </w:tblPr>
      <w:tblGrid>
        <w:gridCol w:w="9360"/>
      </w:tblGrid>
      <w:tr w:rsidR="00A90118" w14:paraId="24A920B1" w14:textId="77777777">
        <w:tblPrEx>
          <w:tblCellMar>
            <w:top w:w="0" w:type="dxa"/>
            <w:bottom w:w="0" w:type="dxa"/>
          </w:tblCellMar>
        </w:tblPrEx>
        <w:tc>
          <w:tcPr>
            <w:tcW w:w="9360" w:type="dxa"/>
            <w:shd w:val="clear" w:color="auto" w:fill="EBF0F5"/>
            <w:tcMar>
              <w:top w:w="160" w:type="dxa"/>
              <w:left w:w="240" w:type="dxa"/>
              <w:bottom w:w="160" w:type="dxa"/>
              <w:right w:w="240" w:type="dxa"/>
            </w:tcMar>
          </w:tcPr>
          <w:p w14:paraId="159302FC" w14:textId="77777777" w:rsidR="00A90118" w:rsidRDefault="00C00F4A">
            <w:pPr>
              <w:spacing w:after="60"/>
            </w:pPr>
            <w:r>
              <w:rPr>
                <w:rFonts w:ascii="Playfair Display" w:eastAsia="Playfair Display" w:hAnsi="Playfair Display" w:cs="Playfair Display"/>
                <w:b/>
                <w:bCs/>
                <w:color w:val="1A365D"/>
                <w:sz w:val="26"/>
                <w:szCs w:val="26"/>
              </w:rPr>
              <w:t>Start the conversation</w:t>
            </w:r>
          </w:p>
          <w:p w14:paraId="43E62C01" w14:textId="77777777" w:rsidR="00A90118" w:rsidRDefault="00C00F4A">
            <w:pPr>
              <w:spacing w:after="100"/>
            </w:pPr>
            <w:r>
              <w:t>Let’s scope what a flexible, enterprise-grade workforce layer could look like for your organization.</w:t>
            </w:r>
          </w:p>
          <w:p w14:paraId="7032ED84" w14:textId="77777777" w:rsidR="00A90118" w:rsidRDefault="00C00F4A">
            <w:pPr>
              <w:spacing w:after="30"/>
            </w:pPr>
            <w:r>
              <w:t xml:space="preserve">Call toll-free: </w:t>
            </w:r>
            <w:r>
              <w:rPr>
                <w:b/>
                <w:bCs/>
                <w:color w:val="2D7A7A"/>
              </w:rPr>
              <w:t>(866) 479-7203</w:t>
            </w:r>
          </w:p>
          <w:p w14:paraId="6CCEC1E8" w14:textId="30ED812B" w:rsidR="00A90118" w:rsidRDefault="00C00F4A">
            <w:pPr>
              <w:spacing w:after="30"/>
            </w:pPr>
            <w:r>
              <w:t xml:space="preserve">Email: </w:t>
            </w:r>
            <w:r w:rsidR="00652FC0" w:rsidRPr="00652FC0">
              <w:rPr>
                <w:b/>
                <w:bCs/>
                <w:i/>
                <w:iCs/>
                <w:color w:val="0070C0"/>
              </w:rPr>
              <w:t>info@tasunited.com</w:t>
            </w:r>
          </w:p>
          <w:p w14:paraId="52F1E348" w14:textId="6963F375" w:rsidR="00A90118" w:rsidRDefault="00C00F4A">
            <w:r>
              <w:t xml:space="preserve">Web: </w:t>
            </w:r>
            <w:r w:rsidR="00652FC0" w:rsidRPr="00652FC0">
              <w:rPr>
                <w:b/>
                <w:bCs/>
                <w:sz w:val="22"/>
                <w:szCs w:val="22"/>
              </w:rPr>
              <w:t>tasunited.com</w:t>
            </w:r>
          </w:p>
        </w:tc>
      </w:tr>
    </w:tbl>
    <w:p w14:paraId="0757F07C" w14:textId="77777777" w:rsidR="00C00F4A" w:rsidRDefault="00C00F4A"/>
    <w:sectPr w:rsidR="00C00F4A">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45AB" w14:textId="77777777" w:rsidR="00C00F4A" w:rsidRDefault="00C00F4A">
      <w:r>
        <w:separator/>
      </w:r>
    </w:p>
  </w:endnote>
  <w:endnote w:type="continuationSeparator" w:id="0">
    <w:p w14:paraId="0CF63795" w14:textId="77777777" w:rsidR="00C00F4A" w:rsidRDefault="00C0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BA2A" w14:textId="77777777" w:rsidR="00A90118" w:rsidRDefault="00C00F4A">
    <w:pPr>
      <w:pBdr>
        <w:top w:val="single" w:sz="4" w:space="6" w:color="D8DEE5"/>
      </w:pBdr>
      <w:tabs>
        <w:tab w:val="center" w:pos="4680"/>
        <w:tab w:val="right" w:pos="9360"/>
      </w:tabs>
    </w:pPr>
    <w:r>
      <w:rPr>
        <w:color w:val="55636E"/>
        <w:sz w:val="15"/>
        <w:szCs w:val="15"/>
      </w:rPr>
      <w:t>TAS United  ·  Staff Augmentation</w:t>
    </w:r>
    <w:r>
      <w:rPr>
        <w:b/>
        <w:bCs/>
        <w:color w:val="2D7A7A"/>
        <w:sz w:val="15"/>
        <w:szCs w:val="15"/>
      </w:rPr>
      <w:tab/>
      <w:t>Toll-free (866) 479-7203</w:t>
    </w:r>
    <w:r>
      <w:rPr>
        <w:color w:val="55636E"/>
        <w:sz w:val="15"/>
        <w:szCs w:val="15"/>
      </w:rPr>
      <w:tab/>
    </w:r>
    <w:r>
      <w:rPr>
        <w:color w:val="55636E"/>
        <w:sz w:val="15"/>
        <w:szCs w:val="15"/>
      </w:rPr>
      <w:fldChar w:fldCharType="begin"/>
    </w:r>
    <w:r>
      <w:rPr>
        <w:color w:val="55636E"/>
        <w:sz w:val="15"/>
        <w:szCs w:val="15"/>
      </w:rPr>
      <w:instrText>PAGE</w:instrText>
    </w:r>
    <w:r>
      <w:rPr>
        <w:color w:val="55636E"/>
        <w:sz w:val="15"/>
        <w:szCs w:val="15"/>
      </w:rPr>
      <w:fldChar w:fldCharType="separate"/>
    </w:r>
    <w:r w:rsidR="00652FC0">
      <w:rPr>
        <w:noProof/>
        <w:color w:val="55636E"/>
        <w:sz w:val="15"/>
        <w:szCs w:val="15"/>
      </w:rPr>
      <w:t>2</w:t>
    </w:r>
    <w:r>
      <w:rPr>
        <w:color w:val="55636E"/>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820C" w14:textId="77777777" w:rsidR="00C00F4A" w:rsidRDefault="00C00F4A">
      <w:r>
        <w:separator/>
      </w:r>
    </w:p>
  </w:footnote>
  <w:footnote w:type="continuationSeparator" w:id="0">
    <w:p w14:paraId="0A2D76E8" w14:textId="77777777" w:rsidR="00C00F4A" w:rsidRDefault="00C0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DB52" w14:textId="77777777" w:rsidR="00A90118" w:rsidRDefault="00C00F4A">
    <w:pPr>
      <w:pBdr>
        <w:bottom w:val="single" w:sz="4" w:space="6" w:color="D8DEE5"/>
      </w:pBdr>
      <w:tabs>
        <w:tab w:val="right" w:pos="9360"/>
      </w:tabs>
    </w:pPr>
    <w:r>
      <w:rPr>
        <w:rFonts w:ascii="Playfair Display" w:eastAsia="Playfair Display" w:hAnsi="Playfair Display" w:cs="Playfair Display"/>
        <w:b/>
        <w:bCs/>
        <w:color w:val="1A365D"/>
        <w:spacing w:val="40"/>
        <w:sz w:val="16"/>
        <w:szCs w:val="16"/>
      </w:rPr>
      <w:t>TAS UNITED</w:t>
    </w:r>
    <w:r>
      <w:rPr>
        <w:color w:val="55636E"/>
        <w:sz w:val="15"/>
        <w:szCs w:val="15"/>
      </w:rPr>
      <w:tab/>
      <w:t>Scaling Without Strain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04FA0"/>
    <w:multiLevelType w:val="hybridMultilevel"/>
    <w:tmpl w:val="EAAC472A"/>
    <w:lvl w:ilvl="0" w:tplc="72964B08">
      <w:start w:val="1"/>
      <w:numFmt w:val="bullet"/>
      <w:lvlText w:val="•"/>
      <w:lvlJc w:val="left"/>
      <w:pPr>
        <w:ind w:left="460" w:hanging="260"/>
      </w:pPr>
      <w:rPr>
        <w:color w:val="C8A951"/>
      </w:rPr>
    </w:lvl>
    <w:lvl w:ilvl="1" w:tplc="DFDC958C">
      <w:numFmt w:val="decimal"/>
      <w:lvlText w:val=""/>
      <w:lvlJc w:val="left"/>
    </w:lvl>
    <w:lvl w:ilvl="2" w:tplc="C2085C9A">
      <w:numFmt w:val="decimal"/>
      <w:lvlText w:val=""/>
      <w:lvlJc w:val="left"/>
    </w:lvl>
    <w:lvl w:ilvl="3" w:tplc="DA7665CC">
      <w:numFmt w:val="decimal"/>
      <w:lvlText w:val=""/>
      <w:lvlJc w:val="left"/>
    </w:lvl>
    <w:lvl w:ilvl="4" w:tplc="B0DA4006">
      <w:numFmt w:val="decimal"/>
      <w:lvlText w:val=""/>
      <w:lvlJc w:val="left"/>
    </w:lvl>
    <w:lvl w:ilvl="5" w:tplc="AF62DF40">
      <w:numFmt w:val="decimal"/>
      <w:lvlText w:val=""/>
      <w:lvlJc w:val="left"/>
    </w:lvl>
    <w:lvl w:ilvl="6" w:tplc="2818AB2A">
      <w:numFmt w:val="decimal"/>
      <w:lvlText w:val=""/>
      <w:lvlJc w:val="left"/>
    </w:lvl>
    <w:lvl w:ilvl="7" w:tplc="F1DADC50">
      <w:numFmt w:val="decimal"/>
      <w:lvlText w:val=""/>
      <w:lvlJc w:val="left"/>
    </w:lvl>
    <w:lvl w:ilvl="8" w:tplc="8B024C52">
      <w:numFmt w:val="decimal"/>
      <w:lvlText w:val=""/>
      <w:lvlJc w:val="left"/>
    </w:lvl>
  </w:abstractNum>
  <w:abstractNum w:abstractNumId="1" w15:restartNumberingAfterBreak="0">
    <w:nsid w:val="3EFE55E3"/>
    <w:multiLevelType w:val="hybridMultilevel"/>
    <w:tmpl w:val="A2C877DA"/>
    <w:lvl w:ilvl="0" w:tplc="6F660902">
      <w:start w:val="1"/>
      <w:numFmt w:val="bullet"/>
      <w:lvlText w:val="●"/>
      <w:lvlJc w:val="left"/>
      <w:pPr>
        <w:ind w:left="720" w:hanging="360"/>
      </w:pPr>
    </w:lvl>
    <w:lvl w:ilvl="1" w:tplc="FECED0EA">
      <w:start w:val="1"/>
      <w:numFmt w:val="bullet"/>
      <w:lvlText w:val="○"/>
      <w:lvlJc w:val="left"/>
      <w:pPr>
        <w:ind w:left="1440" w:hanging="360"/>
      </w:pPr>
    </w:lvl>
    <w:lvl w:ilvl="2" w:tplc="5424529E">
      <w:start w:val="1"/>
      <w:numFmt w:val="bullet"/>
      <w:lvlText w:val="■"/>
      <w:lvlJc w:val="left"/>
      <w:pPr>
        <w:ind w:left="2160" w:hanging="360"/>
      </w:pPr>
    </w:lvl>
    <w:lvl w:ilvl="3" w:tplc="DD92BC72">
      <w:start w:val="1"/>
      <w:numFmt w:val="bullet"/>
      <w:lvlText w:val="●"/>
      <w:lvlJc w:val="left"/>
      <w:pPr>
        <w:ind w:left="2880" w:hanging="360"/>
      </w:pPr>
    </w:lvl>
    <w:lvl w:ilvl="4" w:tplc="F66C20CA">
      <w:start w:val="1"/>
      <w:numFmt w:val="bullet"/>
      <w:lvlText w:val="○"/>
      <w:lvlJc w:val="left"/>
      <w:pPr>
        <w:ind w:left="3600" w:hanging="360"/>
      </w:pPr>
    </w:lvl>
    <w:lvl w:ilvl="5" w:tplc="4B02D9DC">
      <w:start w:val="1"/>
      <w:numFmt w:val="bullet"/>
      <w:lvlText w:val="■"/>
      <w:lvlJc w:val="left"/>
      <w:pPr>
        <w:ind w:left="4320" w:hanging="360"/>
      </w:pPr>
    </w:lvl>
    <w:lvl w:ilvl="6" w:tplc="90627A76">
      <w:start w:val="1"/>
      <w:numFmt w:val="bullet"/>
      <w:lvlText w:val="●"/>
      <w:lvlJc w:val="left"/>
      <w:pPr>
        <w:ind w:left="5040" w:hanging="360"/>
      </w:pPr>
    </w:lvl>
    <w:lvl w:ilvl="7" w:tplc="69601D6C">
      <w:start w:val="1"/>
      <w:numFmt w:val="bullet"/>
      <w:lvlText w:val="●"/>
      <w:lvlJc w:val="left"/>
      <w:pPr>
        <w:ind w:left="5760" w:hanging="360"/>
      </w:pPr>
    </w:lvl>
    <w:lvl w:ilvl="8" w:tplc="FF202B00">
      <w:start w:val="1"/>
      <w:numFmt w:val="bullet"/>
      <w:lvlText w:val="●"/>
      <w:lvlJc w:val="left"/>
      <w:pPr>
        <w:ind w:left="6480" w:hanging="360"/>
      </w:pPr>
    </w:lvl>
  </w:abstractNum>
  <w:abstractNum w:abstractNumId="2" w15:restartNumberingAfterBreak="0">
    <w:nsid w:val="7B885635"/>
    <w:multiLevelType w:val="hybridMultilevel"/>
    <w:tmpl w:val="01B6087C"/>
    <w:lvl w:ilvl="0" w:tplc="C83C6184">
      <w:start w:val="1"/>
      <w:numFmt w:val="decimal"/>
      <w:lvlText w:val="%1."/>
      <w:lvlJc w:val="left"/>
      <w:pPr>
        <w:ind w:left="460" w:hanging="360"/>
      </w:pPr>
      <w:rPr>
        <w:b/>
        <w:bCs/>
        <w:color w:val="2D7A7A"/>
      </w:rPr>
    </w:lvl>
    <w:lvl w:ilvl="1" w:tplc="9664DFDA">
      <w:numFmt w:val="decimal"/>
      <w:lvlText w:val=""/>
      <w:lvlJc w:val="left"/>
    </w:lvl>
    <w:lvl w:ilvl="2" w:tplc="2C02BEBC">
      <w:numFmt w:val="decimal"/>
      <w:lvlText w:val=""/>
      <w:lvlJc w:val="left"/>
    </w:lvl>
    <w:lvl w:ilvl="3" w:tplc="B6382942">
      <w:numFmt w:val="decimal"/>
      <w:lvlText w:val=""/>
      <w:lvlJc w:val="left"/>
    </w:lvl>
    <w:lvl w:ilvl="4" w:tplc="16EA7B22">
      <w:numFmt w:val="decimal"/>
      <w:lvlText w:val=""/>
      <w:lvlJc w:val="left"/>
    </w:lvl>
    <w:lvl w:ilvl="5" w:tplc="4B0090C6">
      <w:numFmt w:val="decimal"/>
      <w:lvlText w:val=""/>
      <w:lvlJc w:val="left"/>
    </w:lvl>
    <w:lvl w:ilvl="6" w:tplc="892A7A52">
      <w:numFmt w:val="decimal"/>
      <w:lvlText w:val=""/>
      <w:lvlJc w:val="left"/>
    </w:lvl>
    <w:lvl w:ilvl="7" w:tplc="FB8E12C6">
      <w:numFmt w:val="decimal"/>
      <w:lvlText w:val=""/>
      <w:lvlJc w:val="left"/>
    </w:lvl>
    <w:lvl w:ilvl="8" w:tplc="8F30B9C6">
      <w:numFmt w:val="decimal"/>
      <w:lvlText w:val=""/>
      <w:lvlJc w:val="left"/>
    </w:lvl>
  </w:abstractNum>
  <w:num w:numId="1" w16cid:durableId="1728451966">
    <w:abstractNumId w:val="1"/>
    <w:lvlOverride w:ilvl="0">
      <w:startOverride w:val="1"/>
    </w:lvlOverride>
  </w:num>
  <w:num w:numId="2" w16cid:durableId="10844420">
    <w:abstractNumId w:val="0"/>
    <w:lvlOverride w:ilvl="0">
      <w:startOverride w:val="1"/>
    </w:lvlOverride>
  </w:num>
  <w:num w:numId="3" w16cid:durableId="136316473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118"/>
    <w:rsid w:val="0055241F"/>
    <w:rsid w:val="00652FC0"/>
    <w:rsid w:val="00A90118"/>
    <w:rsid w:val="00C0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EDC3"/>
  <w15:docId w15:val="{0D8E778D-155C-4FD1-AC56-484060DD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DM Sans" w:hAnsi="DM Sans" w:cs="DM Sans"/>
        <w:color w:val="20262E"/>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60"/>
      <w:outlineLvl w:val="0"/>
    </w:pPr>
    <w:rPr>
      <w:rFonts w:ascii="Playfair Display" w:eastAsia="Playfair Display" w:hAnsi="Playfair Display" w:cs="Playfair Display"/>
      <w:b/>
      <w:bCs/>
      <w:color w:val="1A365D"/>
      <w:sz w:val="30"/>
      <w:szCs w:val="30"/>
    </w:rPr>
  </w:style>
  <w:style w:type="paragraph" w:styleId="Heading2">
    <w:name w:val="heading 2"/>
    <w:uiPriority w:val="9"/>
    <w:unhideWhenUsed/>
    <w:qFormat/>
    <w:pPr>
      <w:spacing w:before="220" w:after="80"/>
      <w:outlineLvl w:val="1"/>
    </w:pPr>
    <w:rPr>
      <w:rFonts w:ascii="Playfair Display" w:eastAsia="Playfair Display" w:hAnsi="Playfair Display" w:cs="Playfair Display"/>
      <w:b/>
      <w:bCs/>
      <w:color w:val="2D7A7A"/>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1995</Words>
  <Characters>11376</Characters>
  <Application>Microsoft Office Word</Application>
  <DocSecurity>0</DocSecurity>
  <Lines>94</Lines>
  <Paragraphs>26</Paragraphs>
  <ScaleCrop>false</ScaleCrop>
  <Company>R - Laptops</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Clay McElroy, MBA</cp:lastModifiedBy>
  <cp:revision>2</cp:revision>
  <dcterms:created xsi:type="dcterms:W3CDTF">2026-05-27T12:08:00Z</dcterms:created>
  <dcterms:modified xsi:type="dcterms:W3CDTF">2026-05-27T12:08:00Z</dcterms:modified>
</cp:coreProperties>
</file>